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0DB55" w14:textId="77777777" w:rsidR="00496A98" w:rsidRDefault="00833793" w:rsidP="00547BD9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7C0FBB">
        <w:rPr>
          <w:b/>
          <w:sz w:val="26"/>
          <w:szCs w:val="26"/>
        </w:rPr>
        <w:t xml:space="preserve">DANH MỤC </w:t>
      </w:r>
      <w:r w:rsidR="00D5265E" w:rsidRPr="007C0FBB">
        <w:rPr>
          <w:b/>
          <w:sz w:val="26"/>
          <w:szCs w:val="26"/>
        </w:rPr>
        <w:t>THỦ TỤ</w:t>
      </w:r>
      <w:r w:rsidR="00F02E02" w:rsidRPr="007C0FBB">
        <w:rPr>
          <w:b/>
          <w:sz w:val="26"/>
          <w:szCs w:val="26"/>
        </w:rPr>
        <w:t xml:space="preserve">C HÀNH CHÍNH </w:t>
      </w:r>
      <w:r w:rsidR="00756B1C" w:rsidRPr="007C0FBB">
        <w:rPr>
          <w:b/>
          <w:sz w:val="26"/>
          <w:szCs w:val="26"/>
        </w:rPr>
        <w:t>MỚ</w:t>
      </w:r>
      <w:r w:rsidR="005E1822">
        <w:rPr>
          <w:b/>
          <w:sz w:val="26"/>
          <w:szCs w:val="26"/>
        </w:rPr>
        <w:t>I BAN HÀNH</w:t>
      </w:r>
      <w:r w:rsidRPr="007C0FBB">
        <w:rPr>
          <w:b/>
          <w:sz w:val="26"/>
          <w:szCs w:val="26"/>
        </w:rPr>
        <w:t xml:space="preserve"> </w:t>
      </w:r>
      <w:r w:rsidR="005E1822">
        <w:rPr>
          <w:b/>
          <w:bCs/>
          <w:sz w:val="26"/>
          <w:szCs w:val="26"/>
        </w:rPr>
        <w:t>TRONG LĨNH VỰC</w:t>
      </w:r>
      <w:r w:rsidR="00FF32B1">
        <w:rPr>
          <w:b/>
          <w:bCs/>
          <w:sz w:val="26"/>
          <w:szCs w:val="26"/>
        </w:rPr>
        <w:t xml:space="preserve"> </w:t>
      </w:r>
      <w:r w:rsidR="00837C87">
        <w:rPr>
          <w:b/>
          <w:bCs/>
          <w:sz w:val="26"/>
          <w:szCs w:val="26"/>
        </w:rPr>
        <w:t xml:space="preserve">TÀI SẢN KẾT CẤU HẠ TẦNG CHỢ </w:t>
      </w:r>
    </w:p>
    <w:p w14:paraId="348E080E" w14:textId="4A526570" w:rsidR="00D5265E" w:rsidRPr="00FF32B1" w:rsidRDefault="00837C87" w:rsidP="00496A98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DO NHÀ NƯỚC ĐẦ</w:t>
      </w:r>
      <w:r w:rsidR="00C243BE">
        <w:rPr>
          <w:b/>
          <w:bCs/>
          <w:sz w:val="26"/>
          <w:szCs w:val="26"/>
        </w:rPr>
        <w:t>U</w:t>
      </w:r>
      <w:r w:rsidR="002F1A85">
        <w:rPr>
          <w:b/>
          <w:bCs/>
          <w:sz w:val="26"/>
          <w:szCs w:val="26"/>
        </w:rPr>
        <w:t xml:space="preserve"> TƯ,</w:t>
      </w:r>
      <w:r>
        <w:rPr>
          <w:b/>
          <w:bCs/>
          <w:sz w:val="26"/>
          <w:szCs w:val="26"/>
        </w:rPr>
        <w:t xml:space="preserve"> QUẢN LÝ </w:t>
      </w:r>
      <w:r w:rsidR="00D5265E" w:rsidRPr="007C0FBB">
        <w:rPr>
          <w:b/>
          <w:bCs/>
          <w:sz w:val="26"/>
          <w:szCs w:val="26"/>
        </w:rPr>
        <w:t>THUỘC PHẠM VI CHỨC NĂNG QUẢN LÝ CỦA</w:t>
      </w:r>
      <w:r w:rsidR="00D5265E" w:rsidRPr="007C0FBB">
        <w:rPr>
          <w:b/>
          <w:sz w:val="26"/>
          <w:szCs w:val="26"/>
        </w:rPr>
        <w:t xml:space="preserve"> SỞ CÔNG THƯƠNG </w:t>
      </w:r>
    </w:p>
    <w:p w14:paraId="47D7DED2" w14:textId="4C081E22" w:rsidR="00D5265E" w:rsidRPr="007C0FBB" w:rsidRDefault="00D5265E" w:rsidP="00547BD9">
      <w:pPr>
        <w:spacing w:after="0" w:line="240" w:lineRule="auto"/>
        <w:jc w:val="center"/>
        <w:rPr>
          <w:i/>
          <w:sz w:val="26"/>
          <w:szCs w:val="26"/>
          <w:highlight w:val="yellow"/>
        </w:rPr>
      </w:pPr>
      <w:r w:rsidRPr="007C0FBB">
        <w:rPr>
          <w:i/>
          <w:sz w:val="26"/>
          <w:szCs w:val="26"/>
        </w:rPr>
        <w:t>(</w:t>
      </w:r>
      <w:r w:rsidR="00633DA7" w:rsidRPr="007C0FBB">
        <w:rPr>
          <w:i/>
          <w:sz w:val="26"/>
          <w:szCs w:val="26"/>
        </w:rPr>
        <w:t>Ban hành k</w:t>
      </w:r>
      <w:r w:rsidRPr="007C0FBB">
        <w:rPr>
          <w:i/>
          <w:sz w:val="26"/>
          <w:szCs w:val="26"/>
        </w:rPr>
        <w:t xml:space="preserve">èm theo Quyết định số    </w:t>
      </w:r>
      <w:r w:rsidR="00E8466C">
        <w:rPr>
          <w:i/>
          <w:sz w:val="26"/>
          <w:szCs w:val="26"/>
          <w:lang w:val="vi-VN"/>
        </w:rPr>
        <w:t xml:space="preserve">  </w:t>
      </w:r>
      <w:r w:rsidR="00001EF5">
        <w:rPr>
          <w:i/>
          <w:sz w:val="26"/>
          <w:szCs w:val="26"/>
          <w:lang w:val="vi-VN"/>
        </w:rPr>
        <w:t xml:space="preserve"> </w:t>
      </w:r>
      <w:r w:rsidRPr="007C0FBB">
        <w:rPr>
          <w:i/>
          <w:sz w:val="26"/>
          <w:szCs w:val="26"/>
        </w:rPr>
        <w:t xml:space="preserve">  </w:t>
      </w:r>
      <w:r w:rsidR="00415767" w:rsidRPr="007C0FBB">
        <w:rPr>
          <w:i/>
          <w:sz w:val="26"/>
          <w:szCs w:val="26"/>
        </w:rPr>
        <w:t xml:space="preserve">  /QĐ-UBND ngày     </w:t>
      </w:r>
      <w:r w:rsidR="00346638">
        <w:rPr>
          <w:i/>
          <w:sz w:val="26"/>
          <w:szCs w:val="26"/>
          <w:lang w:val="vi-VN"/>
        </w:rPr>
        <w:t xml:space="preserve"> </w:t>
      </w:r>
      <w:r w:rsidR="00415767" w:rsidRPr="007C0FBB">
        <w:rPr>
          <w:i/>
          <w:sz w:val="26"/>
          <w:szCs w:val="26"/>
        </w:rPr>
        <w:t xml:space="preserve"> /</w:t>
      </w:r>
      <w:r w:rsidR="006028C4">
        <w:rPr>
          <w:i/>
          <w:sz w:val="26"/>
          <w:szCs w:val="26"/>
        </w:rPr>
        <w:t>7</w:t>
      </w:r>
      <w:r w:rsidRPr="007C0FBB">
        <w:rPr>
          <w:i/>
          <w:sz w:val="26"/>
          <w:szCs w:val="26"/>
        </w:rPr>
        <w:t>/202</w:t>
      </w:r>
      <w:r w:rsidR="00C3305A">
        <w:rPr>
          <w:i/>
          <w:sz w:val="26"/>
          <w:szCs w:val="26"/>
        </w:rPr>
        <w:t>4</w:t>
      </w:r>
      <w:r w:rsidRPr="007C0FBB">
        <w:rPr>
          <w:i/>
          <w:sz w:val="26"/>
          <w:szCs w:val="26"/>
        </w:rPr>
        <w:t xml:space="preserve"> của Chủ tịch UBND tỉnh Hưng Yên)</w:t>
      </w:r>
    </w:p>
    <w:p w14:paraId="3F8C010B" w14:textId="77777777" w:rsidR="00D5265E" w:rsidRPr="007C0FBB" w:rsidRDefault="00692447" w:rsidP="00547BD9">
      <w:pPr>
        <w:spacing w:before="40" w:after="40" w:line="240" w:lineRule="auto"/>
        <w:jc w:val="center"/>
        <w:rPr>
          <w:i/>
          <w:sz w:val="26"/>
          <w:szCs w:val="26"/>
        </w:rPr>
      </w:pPr>
      <w:bookmarkStart w:id="0" w:name="_GoBack"/>
      <w:bookmarkEnd w:id="0"/>
      <w:r w:rsidRPr="007C0FBB">
        <w:rPr>
          <w:i/>
          <w:noProof/>
          <w:sz w:val="26"/>
          <w:szCs w:val="26"/>
          <w:highlight w:val="yellow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CC2F78A" wp14:editId="1D72FDDB">
                <wp:simplePos x="0" y="0"/>
                <wp:positionH relativeFrom="column">
                  <wp:posOffset>3709035</wp:posOffset>
                </wp:positionH>
                <wp:positionV relativeFrom="paragraph">
                  <wp:posOffset>34925</wp:posOffset>
                </wp:positionV>
                <wp:extent cx="184785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C3D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92.05pt;margin-top:2.75pt;width:145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"/>
            </w:pict>
          </mc:Fallback>
        </mc:AlternateContent>
      </w:r>
    </w:p>
    <w:p w14:paraId="7910EC44" w14:textId="501B5B8C" w:rsidR="0020096A" w:rsidRPr="001336F1" w:rsidRDefault="001336F1" w:rsidP="00547BD9">
      <w:pPr>
        <w:spacing w:after="120" w:line="240" w:lineRule="auto"/>
        <w:ind w:firstLine="720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I</w:t>
      </w:r>
      <w:r w:rsidR="005912D6" w:rsidRPr="007C0FBB">
        <w:rPr>
          <w:b/>
          <w:bCs/>
          <w:sz w:val="26"/>
          <w:szCs w:val="26"/>
          <w:lang w:val="nl-NL"/>
        </w:rPr>
        <w:t xml:space="preserve">. </w:t>
      </w:r>
      <w:r w:rsidR="0020096A" w:rsidRPr="007C0FBB">
        <w:rPr>
          <w:b/>
          <w:bCs/>
          <w:sz w:val="26"/>
          <w:szCs w:val="26"/>
          <w:lang w:val="nl-NL"/>
        </w:rPr>
        <w:t>THỦ TỤ</w:t>
      </w:r>
      <w:r w:rsidR="00C3305A">
        <w:rPr>
          <w:b/>
          <w:bCs/>
          <w:sz w:val="26"/>
          <w:szCs w:val="26"/>
          <w:lang w:val="nl-NL"/>
        </w:rPr>
        <w:t>C HÀNH CHÍNH</w:t>
      </w:r>
      <w:r>
        <w:rPr>
          <w:b/>
          <w:bCs/>
          <w:sz w:val="26"/>
          <w:szCs w:val="26"/>
          <w:lang w:val="nl-NL"/>
        </w:rPr>
        <w:t xml:space="preserve"> CẤP TỈNH </w:t>
      </w:r>
    </w:p>
    <w:tbl>
      <w:tblPr>
        <w:tblW w:w="1533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4282"/>
        <w:gridCol w:w="3402"/>
        <w:gridCol w:w="1134"/>
        <w:gridCol w:w="850"/>
        <w:gridCol w:w="851"/>
        <w:gridCol w:w="2126"/>
      </w:tblGrid>
      <w:tr w:rsidR="008A21AD" w:rsidRPr="001A7C23" w14:paraId="071B73A9" w14:textId="77777777" w:rsidTr="00D45CB4">
        <w:trPr>
          <w:trHeight w:val="963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14:paraId="1944F4C7" w14:textId="77777777" w:rsidR="008A21AD" w:rsidRPr="001A7C23" w:rsidRDefault="008A21AD" w:rsidP="00547BD9">
            <w:pPr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1A7C23">
              <w:rPr>
                <w:rFonts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126" w:type="dxa"/>
            <w:vMerge w:val="restart"/>
            <w:vAlign w:val="center"/>
          </w:tcPr>
          <w:p w14:paraId="056F2461" w14:textId="77777777" w:rsidR="008A21AD" w:rsidRPr="001A7C23" w:rsidRDefault="008A21AD" w:rsidP="00547BD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/>
              </w:rPr>
            </w:pPr>
            <w:r w:rsidRPr="001A7C23">
              <w:rPr>
                <w:rFonts w:cs="Times New Roman"/>
                <w:b/>
                <w:bCs/>
                <w:sz w:val="26"/>
                <w:szCs w:val="26"/>
                <w:lang w:val="nl-NL"/>
              </w:rPr>
              <w:t>Tên thủ tục</w:t>
            </w:r>
          </w:p>
          <w:p w14:paraId="13D3458D" w14:textId="77777777" w:rsidR="008A21AD" w:rsidRPr="001A7C23" w:rsidRDefault="008A21AD" w:rsidP="00547BD9">
            <w:pPr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1A7C23">
              <w:rPr>
                <w:rFonts w:cs="Times New Roman"/>
                <w:b/>
                <w:bCs/>
                <w:sz w:val="26"/>
                <w:szCs w:val="26"/>
                <w:lang w:val="nl-NL"/>
              </w:rPr>
              <w:t>hành chính (TTHC)</w:t>
            </w:r>
          </w:p>
        </w:tc>
        <w:tc>
          <w:tcPr>
            <w:tcW w:w="4282" w:type="dxa"/>
            <w:vMerge w:val="restart"/>
            <w:vAlign w:val="center"/>
          </w:tcPr>
          <w:p w14:paraId="2B20016C" w14:textId="77777777" w:rsidR="008A21AD" w:rsidRPr="001A7C23" w:rsidRDefault="008A21AD" w:rsidP="00547BD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/>
              </w:rPr>
            </w:pPr>
            <w:r w:rsidRPr="001A7C23">
              <w:rPr>
                <w:rFonts w:cs="Times New Roman"/>
                <w:b/>
                <w:bCs/>
                <w:sz w:val="26"/>
                <w:szCs w:val="26"/>
                <w:lang w:val="nl-NL"/>
              </w:rPr>
              <w:t>Thời hạn giải quyết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14:paraId="05E365DA" w14:textId="77777777" w:rsidR="008A21AD" w:rsidRPr="001A7C23" w:rsidRDefault="008A21AD" w:rsidP="00547BD9">
            <w:pPr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1A7C23">
              <w:rPr>
                <w:rFonts w:cs="Times New Roman"/>
                <w:b/>
                <w:bCs/>
                <w:sz w:val="26"/>
                <w:szCs w:val="26"/>
                <w:lang w:val="nl-NL"/>
              </w:rPr>
              <w:t>Địa điểm thực hiện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4A1CE5" w14:textId="77777777" w:rsidR="00001EF5" w:rsidRDefault="008A21AD" w:rsidP="00547BD9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A7C23">
              <w:rPr>
                <w:rFonts w:cs="Times New Roman"/>
                <w:b/>
                <w:sz w:val="26"/>
                <w:szCs w:val="26"/>
              </w:rPr>
              <w:t xml:space="preserve">Phí, </w:t>
            </w:r>
          </w:p>
          <w:p w14:paraId="14157B1F" w14:textId="2E436139" w:rsidR="008A21AD" w:rsidRPr="001A7C23" w:rsidRDefault="008A21AD" w:rsidP="00547BD9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A7C23">
              <w:rPr>
                <w:rFonts w:cs="Times New Roman"/>
                <w:b/>
                <w:sz w:val="26"/>
                <w:szCs w:val="26"/>
              </w:rPr>
              <w:t>lệ phí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212184" w14:textId="307BEB4D" w:rsidR="008A21AD" w:rsidRPr="001A7C23" w:rsidRDefault="008A21AD" w:rsidP="00547BD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A7C23">
              <w:rPr>
                <w:rFonts w:cs="Times New Roman"/>
                <w:b/>
                <w:bCs/>
                <w:sz w:val="26"/>
                <w:szCs w:val="26"/>
              </w:rPr>
              <w:t>Dịch vụ công trực tuyế</w:t>
            </w:r>
            <w:r w:rsidR="003A59C8">
              <w:rPr>
                <w:rFonts w:cs="Times New Roman"/>
                <w:b/>
                <w:bCs/>
                <w:sz w:val="26"/>
                <w:szCs w:val="26"/>
              </w:rPr>
              <w:t>n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0F82D7" w14:textId="77777777" w:rsidR="008A21AD" w:rsidRPr="001A7C23" w:rsidRDefault="008A21AD" w:rsidP="00547BD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A7C23">
              <w:rPr>
                <w:rFonts w:cs="Times New Roman"/>
                <w:b/>
                <w:bCs/>
                <w:sz w:val="26"/>
                <w:szCs w:val="26"/>
              </w:rPr>
              <w:t>Căn cứ pháp lý</w:t>
            </w:r>
          </w:p>
        </w:tc>
      </w:tr>
      <w:tr w:rsidR="008A21AD" w:rsidRPr="001A7C23" w14:paraId="033655BD" w14:textId="77777777" w:rsidTr="00D45CB4">
        <w:trPr>
          <w:trHeight w:val="842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14:paraId="4330D01E" w14:textId="77777777" w:rsidR="008A21AD" w:rsidRPr="001A7C23" w:rsidRDefault="008A21AD" w:rsidP="00547BD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42ACF1CE" w14:textId="77777777" w:rsidR="008A21AD" w:rsidRPr="001A7C23" w:rsidRDefault="008A21AD" w:rsidP="00547BD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4282" w:type="dxa"/>
            <w:vMerge/>
            <w:vAlign w:val="center"/>
          </w:tcPr>
          <w:p w14:paraId="7FC53CAE" w14:textId="77777777" w:rsidR="008A21AD" w:rsidRPr="001A7C23" w:rsidRDefault="008A21AD" w:rsidP="00547BD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14:paraId="4CB5DF0A" w14:textId="77777777" w:rsidR="008A21AD" w:rsidRPr="001A7C23" w:rsidRDefault="008A21AD" w:rsidP="00547BD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54B2AB96" w14:textId="77777777" w:rsidR="008A21AD" w:rsidRPr="001A7C23" w:rsidRDefault="008A21AD" w:rsidP="00547BD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56D859D" w14:textId="77777777" w:rsidR="008A21AD" w:rsidRPr="001A7C23" w:rsidRDefault="008A21AD" w:rsidP="00547BD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A7C23">
              <w:rPr>
                <w:rFonts w:cs="Times New Roman"/>
                <w:b/>
                <w:bCs/>
                <w:sz w:val="26"/>
                <w:szCs w:val="26"/>
              </w:rPr>
              <w:t>Một phần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5ABB5FF" w14:textId="77777777" w:rsidR="008A21AD" w:rsidRPr="001A7C23" w:rsidRDefault="008A21AD" w:rsidP="00547BD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A7C23">
              <w:rPr>
                <w:rFonts w:cs="Times New Roman"/>
                <w:b/>
                <w:bCs/>
                <w:sz w:val="26"/>
                <w:szCs w:val="26"/>
              </w:rPr>
              <w:t>Toàn phần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71C8F0" w14:textId="77777777" w:rsidR="008A21AD" w:rsidRPr="001A7C23" w:rsidRDefault="008A21AD" w:rsidP="00547BD9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605311" w:rsidRPr="001A7C23" w14:paraId="3D75296F" w14:textId="77777777" w:rsidTr="00D45CB4">
        <w:trPr>
          <w:trHeight w:val="22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77F9F783" w14:textId="5A8AA2F8" w:rsidR="00605311" w:rsidRPr="00FD66A0" w:rsidRDefault="00605311" w:rsidP="00547BD9">
            <w:pPr>
              <w:spacing w:after="120" w:line="240" w:lineRule="auto"/>
              <w:ind w:left="57" w:right="57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FD66A0"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14:paraId="4B9947B3" w14:textId="698ADE99" w:rsidR="00605311" w:rsidRPr="00FD66A0" w:rsidRDefault="00C243BE" w:rsidP="00547BD9">
            <w:pPr>
              <w:spacing w:after="12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FD66A0">
              <w:rPr>
                <w:rFonts w:cs="Times New Roman"/>
                <w:sz w:val="26"/>
                <w:szCs w:val="26"/>
              </w:rPr>
              <w:t xml:space="preserve">Giao tài </w:t>
            </w:r>
            <w:r w:rsidR="006028C4" w:rsidRPr="00FD66A0">
              <w:rPr>
                <w:rFonts w:cs="Times New Roman"/>
                <w:sz w:val="26"/>
                <w:szCs w:val="26"/>
              </w:rPr>
              <w:t>sản kết cấu hạ tầng chợ do cấp tỉnh quản lý</w:t>
            </w:r>
          </w:p>
        </w:tc>
        <w:tc>
          <w:tcPr>
            <w:tcW w:w="4282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0"/>
            </w:tblGrid>
            <w:tr w:rsidR="00482718" w:rsidRPr="00FD66A0" w14:paraId="267AE2A6" w14:textId="77777777" w:rsidTr="00DC4CD9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84D3F1B" w14:textId="01950F13" w:rsidR="00482718" w:rsidRPr="00FD66A0" w:rsidRDefault="00482718" w:rsidP="00547BD9">
                  <w:pPr>
                    <w:spacing w:after="120" w:line="240" w:lineRule="auto"/>
                    <w:jc w:val="both"/>
                    <w:rPr>
                      <w:rFonts w:eastAsia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14:paraId="0A3194F1" w14:textId="3FA55A60" w:rsidR="00605311" w:rsidRPr="00FD66A0" w:rsidRDefault="001A7C23" w:rsidP="00547BD9">
            <w:pPr>
              <w:spacing w:after="120" w:line="240" w:lineRule="auto"/>
              <w:jc w:val="both"/>
              <w:rPr>
                <w:bCs/>
                <w:sz w:val="26"/>
                <w:szCs w:val="26"/>
              </w:rPr>
            </w:pPr>
            <w:r w:rsidRPr="00FD66A0">
              <w:rPr>
                <w:bCs/>
                <w:sz w:val="26"/>
                <w:szCs w:val="26"/>
              </w:rPr>
              <w:t xml:space="preserve">- </w:t>
            </w:r>
            <w:r w:rsidRPr="00FD66A0">
              <w:rPr>
                <w:bCs/>
                <w:sz w:val="26"/>
                <w:szCs w:val="26"/>
                <w:lang w:val="vi-VN"/>
              </w:rPr>
              <w:t>Trong thời hạn 60 ngày, kể từ ngày nhận đủ hồ sơ</w:t>
            </w:r>
            <w:r w:rsidRPr="00FD66A0">
              <w:rPr>
                <w:color w:val="000000"/>
                <w:sz w:val="26"/>
                <w:szCs w:val="26"/>
              </w:rPr>
              <w:t xml:space="preserve"> </w:t>
            </w:r>
            <w:r w:rsidRPr="00FD66A0">
              <w:rPr>
                <w:bCs/>
                <w:sz w:val="26"/>
                <w:szCs w:val="26"/>
                <w:lang w:val="vi-VN"/>
              </w:rPr>
              <w:t xml:space="preserve">cơ quan chuyên môn về </w:t>
            </w:r>
            <w:r w:rsidRPr="00FD66A0">
              <w:rPr>
                <w:bCs/>
                <w:sz w:val="26"/>
                <w:szCs w:val="26"/>
              </w:rPr>
              <w:t xml:space="preserve">tài sản kết cấu hạ tầng chợ cấp tỉnh chủ trì, phối hợp với </w:t>
            </w:r>
            <w:r w:rsidRPr="00FD66A0">
              <w:rPr>
                <w:bCs/>
                <w:sz w:val="26"/>
                <w:szCs w:val="26"/>
                <w:lang w:val="vi-VN"/>
              </w:rPr>
              <w:t>cơ quan</w:t>
            </w:r>
            <w:r w:rsidRPr="00FD66A0">
              <w:rPr>
                <w:bCs/>
                <w:sz w:val="26"/>
                <w:szCs w:val="26"/>
              </w:rPr>
              <w:t>, đơn vị</w:t>
            </w:r>
            <w:r w:rsidRPr="00FD66A0">
              <w:rPr>
                <w:bCs/>
                <w:sz w:val="26"/>
                <w:szCs w:val="26"/>
                <w:lang w:val="vi-VN"/>
              </w:rPr>
              <w:t xml:space="preserve"> có liên quan</w:t>
            </w:r>
            <w:r w:rsidRPr="00FD66A0">
              <w:rPr>
                <w:bCs/>
                <w:sz w:val="26"/>
                <w:szCs w:val="26"/>
              </w:rPr>
              <w:t xml:space="preserve"> của địa phương trình Ủy ban nhân dân cấp tỉnh xem xét, quyết định giao tài sản.</w:t>
            </w:r>
          </w:p>
          <w:p w14:paraId="52607DDC" w14:textId="2B224A8F" w:rsidR="001A7C23" w:rsidRPr="00FD66A0" w:rsidRDefault="001A7C23" w:rsidP="00547BD9">
            <w:pPr>
              <w:spacing w:after="120" w:line="240" w:lineRule="auto"/>
              <w:jc w:val="both"/>
              <w:rPr>
                <w:iCs/>
                <w:sz w:val="26"/>
                <w:szCs w:val="26"/>
              </w:rPr>
            </w:pPr>
            <w:r w:rsidRPr="00FD66A0">
              <w:rPr>
                <w:iCs/>
                <w:sz w:val="26"/>
                <w:szCs w:val="26"/>
              </w:rPr>
              <w:t xml:space="preserve">- </w:t>
            </w:r>
            <w:r w:rsidRPr="00FD66A0">
              <w:rPr>
                <w:sz w:val="26"/>
                <w:szCs w:val="26"/>
                <w:lang w:val="nl-NL"/>
              </w:rPr>
              <w:t xml:space="preserve">Trong thời hạn 30 ngày, kể từ ngày có Quyết định giao tài sản kết cấu hạ tầng chợ của </w:t>
            </w:r>
            <w:r w:rsidRPr="00FD66A0">
              <w:rPr>
                <w:bCs/>
                <w:sz w:val="26"/>
                <w:szCs w:val="26"/>
              </w:rPr>
              <w:t>Ủy ban nhân dân cấp tỉnh</w:t>
            </w:r>
            <w:r w:rsidRPr="00FD66A0">
              <w:rPr>
                <w:sz w:val="26"/>
                <w:szCs w:val="26"/>
                <w:lang w:val="nl-NL"/>
              </w:rPr>
              <w:t>, các cơ quan, đơn vị, doanh nghiệp có liên quan thực hiện việc bàn giao, tiếp nhận tài sản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5469BB1" w14:textId="77777777" w:rsidR="0080046D" w:rsidRPr="00FD66A0" w:rsidRDefault="0080046D" w:rsidP="0080046D">
            <w:pPr>
              <w:spacing w:after="120" w:line="240" w:lineRule="auto"/>
              <w:ind w:left="57" w:right="57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FD66A0">
              <w:rPr>
                <w:rFonts w:eastAsia="Times New Roman" w:cs="Times New Roman"/>
                <w:bCs/>
                <w:sz w:val="26"/>
                <w:szCs w:val="26"/>
              </w:rPr>
              <w:t>- Trung tâm Phục vụ hành chính công và Kiểm soát TTHC tỉnh Hưng Yên, số 02, đường Chùa Chuông, phường Hiến Nam, thành phố Hưng Yên, tỉnh Hưng Yên</w:t>
            </w:r>
          </w:p>
          <w:p w14:paraId="20CF9046" w14:textId="77777777" w:rsidR="0080046D" w:rsidRPr="00FD66A0" w:rsidRDefault="0080046D" w:rsidP="0080046D">
            <w:pPr>
              <w:spacing w:after="120" w:line="240" w:lineRule="auto"/>
              <w:ind w:left="57" w:right="57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FD66A0">
              <w:rPr>
                <w:rFonts w:eastAsia="Times New Roman" w:cs="Times New Roman"/>
                <w:bCs/>
                <w:sz w:val="26"/>
                <w:szCs w:val="26"/>
              </w:rPr>
              <w:t>+ Nộp hồ sơ: điểm tiếp nhận hồ sơ Sở Công Thương</w:t>
            </w:r>
          </w:p>
          <w:p w14:paraId="5AC946F9" w14:textId="55DE7F08" w:rsidR="00605311" w:rsidRPr="00FD66A0" w:rsidRDefault="0080046D" w:rsidP="0080046D">
            <w:pPr>
              <w:spacing w:after="120" w:line="240" w:lineRule="auto"/>
              <w:ind w:left="57" w:right="57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FD66A0">
              <w:rPr>
                <w:rFonts w:eastAsia="Times New Roman" w:cs="Times New Roman"/>
                <w:bCs/>
                <w:sz w:val="26"/>
                <w:szCs w:val="26"/>
              </w:rPr>
              <w:t>+ Nhận kết quả: điểm trả kết quả tập trung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B4A76E" w14:textId="7B0698A7" w:rsidR="00605311" w:rsidRPr="00FD66A0" w:rsidRDefault="00C6312E" w:rsidP="00547BD9">
            <w:pPr>
              <w:spacing w:after="120" w:line="240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FD66A0">
              <w:rPr>
                <w:rFonts w:cs="Times New Roman"/>
                <w:sz w:val="26"/>
                <w:szCs w:val="26"/>
                <w:shd w:val="clear" w:color="auto" w:fill="FFFFFF"/>
              </w:rPr>
              <w:t>Không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B881329" w14:textId="471B2672" w:rsidR="00605311" w:rsidRPr="00FD66A0" w:rsidRDefault="00C6312E" w:rsidP="00547BD9">
            <w:pPr>
              <w:spacing w:after="120" w:line="240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FD66A0">
              <w:rPr>
                <w:rFonts w:cs="Times New Roman"/>
                <w:sz w:val="26"/>
                <w:szCs w:val="26"/>
                <w:shd w:val="clear" w:color="auto" w:fill="FFFFFF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E53CA75" w14:textId="77777777" w:rsidR="00605311" w:rsidRPr="00FD66A0" w:rsidRDefault="00605311" w:rsidP="00547BD9">
            <w:pPr>
              <w:spacing w:after="120" w:line="240" w:lineRule="auto"/>
              <w:jc w:val="both"/>
              <w:rPr>
                <w:rFonts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DE0A" w14:textId="21487945" w:rsidR="00605311" w:rsidRPr="00FD66A0" w:rsidRDefault="001A7C23" w:rsidP="00547BD9">
            <w:pPr>
              <w:spacing w:after="120" w:line="240" w:lineRule="auto"/>
              <w:jc w:val="both"/>
              <w:rPr>
                <w:sz w:val="26"/>
                <w:szCs w:val="26"/>
              </w:rPr>
            </w:pPr>
            <w:r w:rsidRPr="00FD66A0">
              <w:rPr>
                <w:color w:val="000000"/>
                <w:sz w:val="26"/>
                <w:szCs w:val="26"/>
              </w:rPr>
              <w:t>Nghị định số 60/2024/NĐ-CP ngày 05 tháng 6 năm 2024 của Chính phủ về phát triển và quản lý chợ</w:t>
            </w:r>
          </w:p>
        </w:tc>
      </w:tr>
      <w:tr w:rsidR="006028C4" w:rsidRPr="001A7C23" w14:paraId="315D800B" w14:textId="77777777" w:rsidTr="00D45CB4">
        <w:trPr>
          <w:trHeight w:val="22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3F1FD5AB" w14:textId="3DF8FDC4" w:rsidR="006028C4" w:rsidRPr="00FD66A0" w:rsidRDefault="006028C4" w:rsidP="00547BD9">
            <w:pPr>
              <w:spacing w:after="120" w:line="240" w:lineRule="auto"/>
              <w:ind w:left="57" w:right="57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FD66A0">
              <w:rPr>
                <w:rFonts w:eastAsia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14:paraId="4354CAED" w14:textId="3661CB2F" w:rsidR="006028C4" w:rsidRPr="00FD66A0" w:rsidRDefault="006028C4" w:rsidP="00547BD9">
            <w:pPr>
              <w:spacing w:after="12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FD66A0">
              <w:rPr>
                <w:rFonts w:cs="Times New Roman"/>
                <w:sz w:val="26"/>
                <w:szCs w:val="26"/>
              </w:rPr>
              <w:t>Giao tài sản kết cấu hạ tầng chợ do cấp huyện quản lý</w:t>
            </w:r>
          </w:p>
        </w:tc>
        <w:tc>
          <w:tcPr>
            <w:tcW w:w="4282" w:type="dxa"/>
          </w:tcPr>
          <w:p w14:paraId="562B698F" w14:textId="2DD7D9BF" w:rsidR="001A7C23" w:rsidRPr="00FD66A0" w:rsidRDefault="001A7C23" w:rsidP="00547BD9">
            <w:pPr>
              <w:spacing w:after="120" w:line="240" w:lineRule="auto"/>
              <w:jc w:val="both"/>
              <w:rPr>
                <w:bCs/>
                <w:sz w:val="26"/>
                <w:szCs w:val="26"/>
              </w:rPr>
            </w:pPr>
            <w:r w:rsidRPr="00FD66A0">
              <w:rPr>
                <w:bCs/>
                <w:sz w:val="26"/>
                <w:szCs w:val="26"/>
              </w:rPr>
              <w:t xml:space="preserve">- </w:t>
            </w:r>
            <w:r w:rsidRPr="00FD66A0">
              <w:rPr>
                <w:bCs/>
                <w:sz w:val="26"/>
                <w:szCs w:val="26"/>
                <w:lang w:val="vi-VN"/>
              </w:rPr>
              <w:t>Trong thời hạn 60 ngày, kể từ ngày nhận đủ hồ sơ</w:t>
            </w:r>
            <w:r w:rsidRPr="00FD66A0">
              <w:rPr>
                <w:color w:val="000000"/>
                <w:sz w:val="26"/>
                <w:szCs w:val="26"/>
              </w:rPr>
              <w:t xml:space="preserve"> </w:t>
            </w:r>
            <w:r w:rsidRPr="00FD66A0">
              <w:rPr>
                <w:bCs/>
                <w:sz w:val="26"/>
                <w:szCs w:val="26"/>
                <w:lang w:val="vi-VN"/>
              </w:rPr>
              <w:t xml:space="preserve">cơ quan chuyên môn về </w:t>
            </w:r>
            <w:r w:rsidRPr="00FD66A0">
              <w:rPr>
                <w:bCs/>
                <w:sz w:val="26"/>
                <w:szCs w:val="26"/>
              </w:rPr>
              <w:t xml:space="preserve">tài sản kết cấu hạ tầng chợ cấp tỉnh chủ trì, phối hợp với </w:t>
            </w:r>
            <w:r w:rsidRPr="00FD66A0">
              <w:rPr>
                <w:bCs/>
                <w:sz w:val="26"/>
                <w:szCs w:val="26"/>
                <w:lang w:val="vi-VN"/>
              </w:rPr>
              <w:t>cơ quan</w:t>
            </w:r>
            <w:r w:rsidRPr="00FD66A0">
              <w:rPr>
                <w:bCs/>
                <w:sz w:val="26"/>
                <w:szCs w:val="26"/>
              </w:rPr>
              <w:t>, đơn vị</w:t>
            </w:r>
            <w:r w:rsidRPr="00FD66A0">
              <w:rPr>
                <w:bCs/>
                <w:sz w:val="26"/>
                <w:szCs w:val="26"/>
                <w:lang w:val="vi-VN"/>
              </w:rPr>
              <w:t xml:space="preserve"> có liên quan</w:t>
            </w:r>
            <w:r w:rsidRPr="00FD66A0">
              <w:rPr>
                <w:bCs/>
                <w:sz w:val="26"/>
                <w:szCs w:val="26"/>
              </w:rPr>
              <w:t xml:space="preserve"> của địa phương trình Ủy ban nhân </w:t>
            </w:r>
            <w:r w:rsidRPr="00FD66A0">
              <w:rPr>
                <w:bCs/>
                <w:sz w:val="26"/>
                <w:szCs w:val="26"/>
              </w:rPr>
              <w:lastRenderedPageBreak/>
              <w:t>dân cấp huyện xem xét, quyết định giao tài sản.</w:t>
            </w:r>
          </w:p>
          <w:p w14:paraId="26F9BCB7" w14:textId="652120A4" w:rsidR="006028C4" w:rsidRPr="00FD66A0" w:rsidRDefault="001A7C23" w:rsidP="00547BD9">
            <w:pPr>
              <w:spacing w:after="12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D66A0">
              <w:rPr>
                <w:iCs/>
                <w:sz w:val="26"/>
                <w:szCs w:val="26"/>
              </w:rPr>
              <w:t xml:space="preserve">- </w:t>
            </w:r>
            <w:r w:rsidRPr="00FD66A0">
              <w:rPr>
                <w:sz w:val="26"/>
                <w:szCs w:val="26"/>
                <w:lang w:val="nl-NL"/>
              </w:rPr>
              <w:t xml:space="preserve">Trong thời hạn 30 ngày, kể từ ngày có Quyết định giao tài sản kết cấu hạ tầng chợ của </w:t>
            </w:r>
            <w:r w:rsidRPr="00FD66A0">
              <w:rPr>
                <w:bCs/>
                <w:sz w:val="26"/>
                <w:szCs w:val="26"/>
              </w:rPr>
              <w:t>Ủy ban nhân dân cấp huyện</w:t>
            </w:r>
            <w:r w:rsidRPr="00FD66A0">
              <w:rPr>
                <w:sz w:val="26"/>
                <w:szCs w:val="26"/>
                <w:lang w:val="nl-NL"/>
              </w:rPr>
              <w:t>, các cơ quan, đơn vị, doanh nghiệp có liên quan thực hiện việc bàn giao, tiếp nhận tài sản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EA5EC68" w14:textId="51CDDF18" w:rsidR="001A7C23" w:rsidRPr="00FD66A0" w:rsidRDefault="0080046D" w:rsidP="00547BD9">
            <w:pPr>
              <w:spacing w:after="120" w:line="240" w:lineRule="auto"/>
              <w:ind w:left="57" w:right="57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lastRenderedPageBreak/>
              <w:t xml:space="preserve">- </w:t>
            </w:r>
            <w:r w:rsidR="00823E0A">
              <w:rPr>
                <w:rFonts w:eastAsia="Times New Roman" w:cs="Times New Roman"/>
                <w:bCs/>
                <w:sz w:val="26"/>
                <w:szCs w:val="26"/>
              </w:rPr>
              <w:t xml:space="preserve">Bộ phận </w:t>
            </w:r>
            <w:r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tiếp nhận hồ sơ và trả kết quả</w:t>
            </w:r>
            <w:r w:rsidR="00823E0A">
              <w:rPr>
                <w:rFonts w:eastAsia="Times New Roman" w:cs="Times New Roman"/>
                <w:bCs/>
                <w:sz w:val="26"/>
                <w:szCs w:val="26"/>
              </w:rPr>
              <w:t xml:space="preserve"> UBND cấp huyện</w:t>
            </w:r>
          </w:p>
          <w:p w14:paraId="55C9916B" w14:textId="5C2532C8" w:rsidR="006028C4" w:rsidRPr="00FD66A0" w:rsidRDefault="006028C4" w:rsidP="00547BD9">
            <w:pPr>
              <w:spacing w:after="120" w:line="240" w:lineRule="auto"/>
              <w:ind w:left="57" w:right="57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DCA704" w14:textId="78B04EAA" w:rsidR="006028C4" w:rsidRPr="00FD66A0" w:rsidRDefault="001A7C23" w:rsidP="00547BD9">
            <w:pPr>
              <w:spacing w:after="120" w:line="240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FD66A0">
              <w:rPr>
                <w:rFonts w:cs="Times New Roman"/>
                <w:sz w:val="26"/>
                <w:szCs w:val="26"/>
                <w:shd w:val="clear" w:color="auto" w:fill="FFFFFF"/>
              </w:rPr>
              <w:t>Không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C000292" w14:textId="3AE1C5AF" w:rsidR="006028C4" w:rsidRPr="00FD66A0" w:rsidRDefault="006028C4" w:rsidP="00547BD9">
            <w:pPr>
              <w:spacing w:after="120" w:line="240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FD66A0">
              <w:rPr>
                <w:rFonts w:cs="Times New Roman"/>
                <w:sz w:val="26"/>
                <w:szCs w:val="26"/>
                <w:shd w:val="clear" w:color="auto" w:fill="FFFFFF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6F64C5" w14:textId="77777777" w:rsidR="006028C4" w:rsidRPr="00FD66A0" w:rsidRDefault="006028C4" w:rsidP="00547BD9">
            <w:pPr>
              <w:spacing w:after="120" w:line="240" w:lineRule="auto"/>
              <w:jc w:val="both"/>
              <w:rPr>
                <w:rFonts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A938" w14:textId="466E8879" w:rsidR="006028C4" w:rsidRPr="00FD66A0" w:rsidRDefault="001A7C23" w:rsidP="00547BD9">
            <w:pPr>
              <w:spacing w:after="120" w:line="240" w:lineRule="auto"/>
              <w:jc w:val="both"/>
              <w:rPr>
                <w:sz w:val="26"/>
                <w:szCs w:val="26"/>
              </w:rPr>
            </w:pPr>
            <w:r w:rsidRPr="00FD66A0">
              <w:rPr>
                <w:color w:val="000000"/>
                <w:sz w:val="26"/>
                <w:szCs w:val="26"/>
              </w:rPr>
              <w:t xml:space="preserve">Nghị định số 60/2024/NĐ-CP ngày 05 tháng 6 năm 2024 của Chính phủ về phát </w:t>
            </w:r>
            <w:r w:rsidRPr="00FD66A0">
              <w:rPr>
                <w:color w:val="000000"/>
                <w:sz w:val="26"/>
                <w:szCs w:val="26"/>
              </w:rPr>
              <w:lastRenderedPageBreak/>
              <w:t>triển và quản lý chợ</w:t>
            </w:r>
          </w:p>
        </w:tc>
      </w:tr>
      <w:tr w:rsidR="0080046D" w:rsidRPr="001A7C23" w14:paraId="25800237" w14:textId="77777777" w:rsidTr="00D45CB4">
        <w:trPr>
          <w:trHeight w:val="22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0D524FA9" w14:textId="142C1874" w:rsidR="0080046D" w:rsidRPr="00FD66A0" w:rsidRDefault="0080046D" w:rsidP="0080046D">
            <w:pPr>
              <w:spacing w:after="120" w:line="240" w:lineRule="auto"/>
              <w:ind w:left="57" w:right="57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FD66A0">
              <w:rPr>
                <w:rFonts w:eastAsia="Times New Roman" w:cs="Times New Roman"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2126" w:type="dxa"/>
          </w:tcPr>
          <w:p w14:paraId="29C6C63C" w14:textId="72082825" w:rsidR="0080046D" w:rsidRPr="00FD66A0" w:rsidRDefault="0080046D" w:rsidP="0080046D">
            <w:pPr>
              <w:spacing w:after="12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FD66A0">
              <w:rPr>
                <w:rFonts w:cs="Times New Roman"/>
                <w:sz w:val="26"/>
                <w:szCs w:val="26"/>
              </w:rPr>
              <w:t>Thu hồi tài sản kết cấu hạ tầng chợ</w:t>
            </w:r>
          </w:p>
        </w:tc>
        <w:tc>
          <w:tcPr>
            <w:tcW w:w="4282" w:type="dxa"/>
          </w:tcPr>
          <w:p w14:paraId="231DA955" w14:textId="77777777" w:rsidR="0080046D" w:rsidRPr="00FD66A0" w:rsidRDefault="0080046D" w:rsidP="0080046D">
            <w:pPr>
              <w:pStyle w:val="NormalWeb"/>
              <w:shd w:val="clear" w:color="auto" w:fill="FFFFFF"/>
              <w:spacing w:before="0" w:beforeAutospacing="0" w:after="120" w:afterAutospacing="0"/>
              <w:jc w:val="both"/>
              <w:rPr>
                <w:sz w:val="26"/>
                <w:szCs w:val="26"/>
                <w:lang w:val="nl-NL"/>
              </w:rPr>
            </w:pPr>
            <w:r w:rsidRPr="00FD66A0">
              <w:rPr>
                <w:bCs/>
                <w:sz w:val="26"/>
                <w:szCs w:val="26"/>
              </w:rPr>
              <w:t xml:space="preserve">- </w:t>
            </w:r>
            <w:r w:rsidRPr="00FD66A0">
              <w:rPr>
                <w:sz w:val="26"/>
                <w:szCs w:val="26"/>
                <w:lang w:val="nb-NO" w:eastAsia="vi-VN"/>
              </w:rPr>
              <w:t>Trong thời hạn 45 ngày, kể từ ngày nhận đủ hồ sơ quy định</w:t>
            </w:r>
            <w:r w:rsidRPr="00FD66A0">
              <w:rPr>
                <w:sz w:val="26"/>
                <w:szCs w:val="26"/>
                <w:lang w:val="nl-NL"/>
              </w:rPr>
              <w:t xml:space="preserve">, </w:t>
            </w:r>
            <w:r w:rsidRPr="00FD66A0">
              <w:rPr>
                <w:sz w:val="26"/>
                <w:szCs w:val="26"/>
                <w:lang w:val="nb-NO"/>
              </w:rPr>
              <w:t>cơ quan chuyên môn về tài sản kết cấu hạ tầng chợ</w:t>
            </w:r>
            <w:r w:rsidRPr="00FD66A0">
              <w:rPr>
                <w:sz w:val="26"/>
                <w:szCs w:val="26"/>
                <w:lang w:val="nl-NL"/>
              </w:rPr>
              <w:t xml:space="preserve"> chủ trì, phối hợp với cơ quan, đơn vị có liên quan báo cáo Ủy ban nhân dân cấp có thẩm quyền xem xét, quyết định thu hồi. </w:t>
            </w:r>
          </w:p>
          <w:p w14:paraId="49AFBC58" w14:textId="3315CDE5" w:rsidR="0080046D" w:rsidRPr="00FD66A0" w:rsidRDefault="0080046D" w:rsidP="0080046D">
            <w:pPr>
              <w:shd w:val="clear" w:color="auto" w:fill="FFFFFF"/>
              <w:spacing w:after="120" w:line="240" w:lineRule="auto"/>
              <w:jc w:val="both"/>
              <w:rPr>
                <w:sz w:val="26"/>
                <w:szCs w:val="26"/>
              </w:rPr>
            </w:pPr>
            <w:r w:rsidRPr="00FD66A0">
              <w:rPr>
                <w:sz w:val="26"/>
                <w:szCs w:val="26"/>
              </w:rPr>
              <w:t xml:space="preserve">- </w:t>
            </w:r>
            <w:r w:rsidRPr="00FD66A0">
              <w:rPr>
                <w:sz w:val="26"/>
                <w:szCs w:val="26"/>
                <w:lang w:val="vi-VN"/>
              </w:rPr>
              <w:t xml:space="preserve">Trong thời hạn </w:t>
            </w:r>
            <w:r w:rsidRPr="00FD66A0">
              <w:rPr>
                <w:sz w:val="26"/>
                <w:szCs w:val="26"/>
              </w:rPr>
              <w:t>30</w:t>
            </w:r>
            <w:r w:rsidRPr="00FD66A0">
              <w:rPr>
                <w:sz w:val="26"/>
                <w:szCs w:val="26"/>
                <w:lang w:val="vi-VN"/>
              </w:rPr>
              <w:t xml:space="preserve"> ngày, kể từ ngày nhận đủ hồ sơ </w:t>
            </w:r>
            <w:r w:rsidRPr="00FD66A0">
              <w:rPr>
                <w:sz w:val="26"/>
                <w:szCs w:val="26"/>
              </w:rPr>
              <w:t xml:space="preserve">quy định, Ủy ban nhân dân cấp có thẩm quyền </w:t>
            </w:r>
            <w:r w:rsidRPr="00FD66A0">
              <w:rPr>
                <w:sz w:val="26"/>
                <w:szCs w:val="26"/>
                <w:lang w:val="vi-VN"/>
              </w:rPr>
              <w:t xml:space="preserve">xem </w:t>
            </w:r>
            <w:r w:rsidRPr="00FD66A0">
              <w:rPr>
                <w:sz w:val="26"/>
                <w:szCs w:val="26"/>
              </w:rPr>
              <w:t>xét, ban hành Quyết định thu hồi tài sản kết cấu hạ tầng chợ hoặc có văn bản</w:t>
            </w:r>
            <w:r w:rsidRPr="00FD66A0">
              <w:rPr>
                <w:sz w:val="26"/>
                <w:szCs w:val="26"/>
                <w:lang w:val="vi-VN"/>
              </w:rPr>
              <w:t xml:space="preserve"> hồi đáp trong trường hợp đề nghị thu hồi tài sản không phù hợp.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0201C6E" w14:textId="77777777" w:rsidR="0080046D" w:rsidRPr="00FD66A0" w:rsidRDefault="0080046D" w:rsidP="0080046D">
            <w:pPr>
              <w:spacing w:after="120" w:line="240" w:lineRule="auto"/>
              <w:ind w:left="57" w:right="57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FD66A0">
              <w:rPr>
                <w:rFonts w:eastAsia="Times New Roman" w:cs="Times New Roman"/>
                <w:bCs/>
                <w:sz w:val="26"/>
                <w:szCs w:val="26"/>
              </w:rPr>
              <w:t>- Trung tâm Phục vụ hành chính công và Kiểm soát TTHC tỉnh Hưng Yên, số 02, đường Chùa Chuông, phường Hiến Nam, thành phố Hưng Yên, tỉnh Hưng Yên</w:t>
            </w:r>
          </w:p>
          <w:p w14:paraId="1AEFA625" w14:textId="77777777" w:rsidR="0080046D" w:rsidRPr="00FD66A0" w:rsidRDefault="0080046D" w:rsidP="0080046D">
            <w:pPr>
              <w:spacing w:after="120" w:line="240" w:lineRule="auto"/>
              <w:ind w:left="57" w:right="57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FD66A0">
              <w:rPr>
                <w:rFonts w:eastAsia="Times New Roman" w:cs="Times New Roman"/>
                <w:bCs/>
                <w:sz w:val="26"/>
                <w:szCs w:val="26"/>
              </w:rPr>
              <w:t>+ Nộp hồ sơ: điểm tiếp nhận hồ sơ Sở Công Thương</w:t>
            </w:r>
          </w:p>
          <w:p w14:paraId="130F6CCE" w14:textId="77777777" w:rsidR="0080046D" w:rsidRDefault="0080046D" w:rsidP="0080046D">
            <w:pPr>
              <w:spacing w:after="120" w:line="240" w:lineRule="auto"/>
              <w:ind w:left="57" w:right="57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FD66A0">
              <w:rPr>
                <w:rFonts w:eastAsia="Times New Roman" w:cs="Times New Roman"/>
                <w:bCs/>
                <w:sz w:val="26"/>
                <w:szCs w:val="26"/>
              </w:rPr>
              <w:t>+ Nhận kết quả: điểm trả kết quả tập trung</w:t>
            </w:r>
          </w:p>
          <w:p w14:paraId="4EADD740" w14:textId="77777777" w:rsidR="00A8714B" w:rsidRPr="00FD66A0" w:rsidRDefault="00A8714B" w:rsidP="00A8714B">
            <w:pPr>
              <w:spacing w:after="120" w:line="240" w:lineRule="auto"/>
              <w:ind w:left="57" w:right="57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Bộ phận </w:t>
            </w:r>
            <w:r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>tiếp nhận hồ sơ và trả kết quả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 UBND cấp huyện</w:t>
            </w:r>
          </w:p>
          <w:p w14:paraId="75D95FEC" w14:textId="76C5886B" w:rsidR="0080046D" w:rsidRPr="00FD66A0" w:rsidRDefault="0080046D" w:rsidP="00A8714B">
            <w:pPr>
              <w:spacing w:after="120" w:line="240" w:lineRule="auto"/>
              <w:ind w:right="57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41C66A" w14:textId="103E076F" w:rsidR="0080046D" w:rsidRPr="00FD66A0" w:rsidRDefault="0080046D" w:rsidP="0080046D">
            <w:pPr>
              <w:spacing w:after="120" w:line="240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FD66A0">
              <w:rPr>
                <w:rFonts w:cs="Times New Roman"/>
                <w:sz w:val="26"/>
                <w:szCs w:val="26"/>
                <w:shd w:val="clear" w:color="auto" w:fill="FFFFFF"/>
              </w:rPr>
              <w:t>Không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96596B8" w14:textId="02698BEA" w:rsidR="0080046D" w:rsidRPr="00FD66A0" w:rsidRDefault="0080046D" w:rsidP="0080046D">
            <w:pPr>
              <w:spacing w:after="120" w:line="240" w:lineRule="auto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FD66A0">
              <w:rPr>
                <w:rFonts w:cs="Times New Roman"/>
                <w:sz w:val="26"/>
                <w:szCs w:val="26"/>
                <w:shd w:val="clear" w:color="auto" w:fill="FFFFFF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53CBE4" w14:textId="77777777" w:rsidR="0080046D" w:rsidRPr="00FD66A0" w:rsidRDefault="0080046D" w:rsidP="0080046D">
            <w:pPr>
              <w:spacing w:after="120" w:line="240" w:lineRule="auto"/>
              <w:jc w:val="both"/>
              <w:rPr>
                <w:rFonts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A266" w14:textId="1976733C" w:rsidR="0080046D" w:rsidRPr="00FD66A0" w:rsidRDefault="0080046D" w:rsidP="0080046D">
            <w:pPr>
              <w:spacing w:after="120" w:line="240" w:lineRule="auto"/>
              <w:jc w:val="both"/>
              <w:rPr>
                <w:sz w:val="26"/>
                <w:szCs w:val="26"/>
              </w:rPr>
            </w:pPr>
            <w:r w:rsidRPr="00FD66A0">
              <w:rPr>
                <w:color w:val="000000"/>
                <w:sz w:val="26"/>
                <w:szCs w:val="26"/>
              </w:rPr>
              <w:t>Nghị định số 60/2024/NĐ-CP ngày 05 tháng 6 năm 2024 của Chính phủ về phát triển và quản lý chợ</w:t>
            </w:r>
          </w:p>
        </w:tc>
      </w:tr>
    </w:tbl>
    <w:p w14:paraId="2E0E2781" w14:textId="77777777" w:rsidR="00833793" w:rsidRPr="001A7C23" w:rsidRDefault="00833793" w:rsidP="00547BD9">
      <w:pPr>
        <w:spacing w:after="120" w:line="240" w:lineRule="auto"/>
        <w:jc w:val="both"/>
        <w:rPr>
          <w:b/>
          <w:sz w:val="26"/>
          <w:szCs w:val="26"/>
        </w:rPr>
      </w:pPr>
    </w:p>
    <w:p w14:paraId="700E398E" w14:textId="77777777" w:rsidR="0043771B" w:rsidRPr="001A7C23" w:rsidRDefault="0043771B" w:rsidP="00547BD9">
      <w:pPr>
        <w:spacing w:after="120" w:line="240" w:lineRule="auto"/>
        <w:jc w:val="both"/>
        <w:rPr>
          <w:b/>
          <w:sz w:val="26"/>
          <w:szCs w:val="26"/>
        </w:rPr>
      </w:pPr>
    </w:p>
    <w:sectPr w:rsidR="0043771B" w:rsidRPr="001A7C23" w:rsidSect="00FD66A0">
      <w:headerReference w:type="default" r:id="rId8"/>
      <w:headerReference w:type="first" r:id="rId9"/>
      <w:pgSz w:w="16840" w:h="11907" w:orient="landscape" w:code="9"/>
      <w:pgMar w:top="1134" w:right="567" w:bottom="1134" w:left="1134" w:header="510" w:footer="51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F1453" w14:textId="77777777" w:rsidR="00C554D6" w:rsidRDefault="00C554D6" w:rsidP="001502FE">
      <w:pPr>
        <w:spacing w:after="0" w:line="240" w:lineRule="auto"/>
      </w:pPr>
      <w:r>
        <w:separator/>
      </w:r>
    </w:p>
  </w:endnote>
  <w:endnote w:type="continuationSeparator" w:id="0">
    <w:p w14:paraId="26C0F9AC" w14:textId="77777777" w:rsidR="00C554D6" w:rsidRDefault="00C554D6" w:rsidP="00150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F820D" w14:textId="77777777" w:rsidR="00C554D6" w:rsidRDefault="00C554D6" w:rsidP="001502FE">
      <w:pPr>
        <w:spacing w:after="0" w:line="240" w:lineRule="auto"/>
      </w:pPr>
      <w:r>
        <w:separator/>
      </w:r>
    </w:p>
  </w:footnote>
  <w:footnote w:type="continuationSeparator" w:id="0">
    <w:p w14:paraId="1141AEF2" w14:textId="77777777" w:rsidR="00C554D6" w:rsidRDefault="00C554D6" w:rsidP="00150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B3140" w14:textId="56959835" w:rsidR="00547BD9" w:rsidRPr="00547BD9" w:rsidRDefault="00547BD9" w:rsidP="00547BD9">
    <w:pPr>
      <w:pStyle w:val="Header"/>
      <w:jc w:val="center"/>
      <w:rPr>
        <w:lang w:val="vi-VN"/>
      </w:rPr>
    </w:pPr>
    <w:r>
      <w:rPr>
        <w:lang w:val="vi-V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72024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6A416F" w14:textId="0E9072ED" w:rsidR="00547BD9" w:rsidRDefault="00C554D6">
        <w:pPr>
          <w:pStyle w:val="Header"/>
          <w:jc w:val="center"/>
        </w:pPr>
      </w:p>
    </w:sdtContent>
  </w:sdt>
  <w:p w14:paraId="3D6BBC2C" w14:textId="77777777" w:rsidR="00547BD9" w:rsidRDefault="00547B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072B"/>
    <w:multiLevelType w:val="hybridMultilevel"/>
    <w:tmpl w:val="1AEAEC3A"/>
    <w:lvl w:ilvl="0" w:tplc="AD087C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3E01"/>
    <w:multiLevelType w:val="hybridMultilevel"/>
    <w:tmpl w:val="827C585C"/>
    <w:lvl w:ilvl="0" w:tplc="AE9874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32721"/>
    <w:multiLevelType w:val="hybridMultilevel"/>
    <w:tmpl w:val="F4A609AE"/>
    <w:lvl w:ilvl="0" w:tplc="1550F014">
      <w:start w:val="3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BC69C5"/>
    <w:multiLevelType w:val="hybridMultilevel"/>
    <w:tmpl w:val="862EFEC8"/>
    <w:lvl w:ilvl="0" w:tplc="69E630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4210A0"/>
    <w:multiLevelType w:val="hybridMultilevel"/>
    <w:tmpl w:val="3A08D7E8"/>
    <w:lvl w:ilvl="0" w:tplc="AC862F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0308D"/>
    <w:multiLevelType w:val="hybridMultilevel"/>
    <w:tmpl w:val="B4E07ADE"/>
    <w:lvl w:ilvl="0" w:tplc="83C455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3034F"/>
    <w:multiLevelType w:val="hybridMultilevel"/>
    <w:tmpl w:val="ABFA2074"/>
    <w:lvl w:ilvl="0" w:tplc="FBFE0C5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306607"/>
    <w:multiLevelType w:val="hybridMultilevel"/>
    <w:tmpl w:val="DBD415CE"/>
    <w:lvl w:ilvl="0" w:tplc="D652C540">
      <w:start w:val="1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" w15:restartNumberingAfterBreak="0">
    <w:nsid w:val="425A3719"/>
    <w:multiLevelType w:val="hybridMultilevel"/>
    <w:tmpl w:val="D608A37A"/>
    <w:lvl w:ilvl="0" w:tplc="F02A41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B56B4"/>
    <w:multiLevelType w:val="hybridMultilevel"/>
    <w:tmpl w:val="EF089A22"/>
    <w:lvl w:ilvl="0" w:tplc="7BA83BDC">
      <w:start w:val="1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 w15:restartNumberingAfterBreak="0">
    <w:nsid w:val="45E6464C"/>
    <w:multiLevelType w:val="hybridMultilevel"/>
    <w:tmpl w:val="71A2CF68"/>
    <w:lvl w:ilvl="0" w:tplc="BBE2509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B3F57AC"/>
    <w:multiLevelType w:val="hybridMultilevel"/>
    <w:tmpl w:val="9E78D9F8"/>
    <w:lvl w:ilvl="0" w:tplc="1870E0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21A"/>
    <w:multiLevelType w:val="hybridMultilevel"/>
    <w:tmpl w:val="39E096F8"/>
    <w:lvl w:ilvl="0" w:tplc="BDCCEB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234A2"/>
    <w:multiLevelType w:val="hybridMultilevel"/>
    <w:tmpl w:val="BAD65732"/>
    <w:lvl w:ilvl="0" w:tplc="F2FC6052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 w15:restartNumberingAfterBreak="0">
    <w:nsid w:val="67922ACA"/>
    <w:multiLevelType w:val="hybridMultilevel"/>
    <w:tmpl w:val="B4A6C810"/>
    <w:lvl w:ilvl="0" w:tplc="BB72AFEC">
      <w:start w:val="1"/>
      <w:numFmt w:val="upperLetter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4"/>
  </w:num>
  <w:num w:numId="5">
    <w:abstractNumId w:val="10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  <w:num w:numId="11">
    <w:abstractNumId w:val="5"/>
  </w:num>
  <w:num w:numId="12">
    <w:abstractNumId w:val="4"/>
  </w:num>
  <w:num w:numId="13">
    <w:abstractNumId w:val="8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83"/>
    <w:rsid w:val="00001EF5"/>
    <w:rsid w:val="0001266B"/>
    <w:rsid w:val="000127FC"/>
    <w:rsid w:val="0003350E"/>
    <w:rsid w:val="000379D5"/>
    <w:rsid w:val="00037CFC"/>
    <w:rsid w:val="000414A6"/>
    <w:rsid w:val="00044900"/>
    <w:rsid w:val="00057B38"/>
    <w:rsid w:val="00065089"/>
    <w:rsid w:val="000717CB"/>
    <w:rsid w:val="00071CBB"/>
    <w:rsid w:val="000816D3"/>
    <w:rsid w:val="00084658"/>
    <w:rsid w:val="00084AB6"/>
    <w:rsid w:val="000856D1"/>
    <w:rsid w:val="000877AA"/>
    <w:rsid w:val="00094277"/>
    <w:rsid w:val="000954F1"/>
    <w:rsid w:val="000967C4"/>
    <w:rsid w:val="000977CC"/>
    <w:rsid w:val="000A1202"/>
    <w:rsid w:val="000A3C3D"/>
    <w:rsid w:val="000A504B"/>
    <w:rsid w:val="000A5272"/>
    <w:rsid w:val="000A5F5C"/>
    <w:rsid w:val="000A7A8C"/>
    <w:rsid w:val="000B0355"/>
    <w:rsid w:val="000C1ED2"/>
    <w:rsid w:val="000C3C03"/>
    <w:rsid w:val="000C5ADD"/>
    <w:rsid w:val="000D13B9"/>
    <w:rsid w:val="000E17F3"/>
    <w:rsid w:val="000F06D6"/>
    <w:rsid w:val="001314D2"/>
    <w:rsid w:val="00132571"/>
    <w:rsid w:val="001336F1"/>
    <w:rsid w:val="00144288"/>
    <w:rsid w:val="00144CAF"/>
    <w:rsid w:val="00146072"/>
    <w:rsid w:val="00146D83"/>
    <w:rsid w:val="001502FE"/>
    <w:rsid w:val="00164BC3"/>
    <w:rsid w:val="001713B4"/>
    <w:rsid w:val="00183B23"/>
    <w:rsid w:val="00190D2D"/>
    <w:rsid w:val="00195C7C"/>
    <w:rsid w:val="001A7C23"/>
    <w:rsid w:val="001C4E63"/>
    <w:rsid w:val="001D1EC9"/>
    <w:rsid w:val="001D2B8D"/>
    <w:rsid w:val="001D3087"/>
    <w:rsid w:val="001D3E36"/>
    <w:rsid w:val="001D700E"/>
    <w:rsid w:val="001E02BC"/>
    <w:rsid w:val="001E6889"/>
    <w:rsid w:val="001F06EC"/>
    <w:rsid w:val="001F23AB"/>
    <w:rsid w:val="001F5397"/>
    <w:rsid w:val="0020096A"/>
    <w:rsid w:val="00210077"/>
    <w:rsid w:val="00212395"/>
    <w:rsid w:val="002144F2"/>
    <w:rsid w:val="00215805"/>
    <w:rsid w:val="00230C9F"/>
    <w:rsid w:val="002311C6"/>
    <w:rsid w:val="00233310"/>
    <w:rsid w:val="0023743B"/>
    <w:rsid w:val="002438F0"/>
    <w:rsid w:val="00245337"/>
    <w:rsid w:val="0026466B"/>
    <w:rsid w:val="0027286F"/>
    <w:rsid w:val="00276DFB"/>
    <w:rsid w:val="00285DE5"/>
    <w:rsid w:val="0029301D"/>
    <w:rsid w:val="002A149D"/>
    <w:rsid w:val="002B7DB4"/>
    <w:rsid w:val="002D1D72"/>
    <w:rsid w:val="002D2393"/>
    <w:rsid w:val="002D6B3F"/>
    <w:rsid w:val="002E070C"/>
    <w:rsid w:val="002E4504"/>
    <w:rsid w:val="002F1A85"/>
    <w:rsid w:val="002F2C7C"/>
    <w:rsid w:val="002F2D05"/>
    <w:rsid w:val="002F724B"/>
    <w:rsid w:val="002F794E"/>
    <w:rsid w:val="003020D6"/>
    <w:rsid w:val="00317724"/>
    <w:rsid w:val="00320ED7"/>
    <w:rsid w:val="0032564E"/>
    <w:rsid w:val="00325DA9"/>
    <w:rsid w:val="00330BFF"/>
    <w:rsid w:val="00336B86"/>
    <w:rsid w:val="0033736D"/>
    <w:rsid w:val="00346638"/>
    <w:rsid w:val="00362DAA"/>
    <w:rsid w:val="003642DA"/>
    <w:rsid w:val="00370712"/>
    <w:rsid w:val="00371A23"/>
    <w:rsid w:val="0037393E"/>
    <w:rsid w:val="0037442E"/>
    <w:rsid w:val="00376235"/>
    <w:rsid w:val="00377656"/>
    <w:rsid w:val="00380C15"/>
    <w:rsid w:val="00383CA9"/>
    <w:rsid w:val="0039771D"/>
    <w:rsid w:val="003A1450"/>
    <w:rsid w:val="003A59C8"/>
    <w:rsid w:val="003A7E86"/>
    <w:rsid w:val="003B0C0A"/>
    <w:rsid w:val="003B6E51"/>
    <w:rsid w:val="003C48FF"/>
    <w:rsid w:val="003F01AC"/>
    <w:rsid w:val="003F06D0"/>
    <w:rsid w:val="003F3A5A"/>
    <w:rsid w:val="003F424D"/>
    <w:rsid w:val="003F4B37"/>
    <w:rsid w:val="003F5368"/>
    <w:rsid w:val="00401106"/>
    <w:rsid w:val="00415767"/>
    <w:rsid w:val="00426163"/>
    <w:rsid w:val="004331DB"/>
    <w:rsid w:val="00435ECA"/>
    <w:rsid w:val="00436EFC"/>
    <w:rsid w:val="0043771B"/>
    <w:rsid w:val="00441340"/>
    <w:rsid w:val="00442D74"/>
    <w:rsid w:val="00447B68"/>
    <w:rsid w:val="004536BC"/>
    <w:rsid w:val="004628D3"/>
    <w:rsid w:val="00464FBB"/>
    <w:rsid w:val="00465C3B"/>
    <w:rsid w:val="004749F6"/>
    <w:rsid w:val="00482718"/>
    <w:rsid w:val="00484525"/>
    <w:rsid w:val="004859C5"/>
    <w:rsid w:val="00486D0E"/>
    <w:rsid w:val="00496A98"/>
    <w:rsid w:val="00497AA7"/>
    <w:rsid w:val="004A6B4A"/>
    <w:rsid w:val="004B4C13"/>
    <w:rsid w:val="004C0770"/>
    <w:rsid w:val="004C3AA3"/>
    <w:rsid w:val="004C6500"/>
    <w:rsid w:val="004D2618"/>
    <w:rsid w:val="004D26C9"/>
    <w:rsid w:val="004D542E"/>
    <w:rsid w:val="004E31B5"/>
    <w:rsid w:val="004E510C"/>
    <w:rsid w:val="004F1831"/>
    <w:rsid w:val="004F1872"/>
    <w:rsid w:val="00517F66"/>
    <w:rsid w:val="005237AD"/>
    <w:rsid w:val="00526514"/>
    <w:rsid w:val="005274EF"/>
    <w:rsid w:val="00527C70"/>
    <w:rsid w:val="005364B2"/>
    <w:rsid w:val="00547BD9"/>
    <w:rsid w:val="00562F4F"/>
    <w:rsid w:val="00580631"/>
    <w:rsid w:val="005912D6"/>
    <w:rsid w:val="005A287A"/>
    <w:rsid w:val="005A2F0E"/>
    <w:rsid w:val="005A4106"/>
    <w:rsid w:val="005A57BD"/>
    <w:rsid w:val="005A7CCD"/>
    <w:rsid w:val="005B4979"/>
    <w:rsid w:val="005C1E80"/>
    <w:rsid w:val="005C2C98"/>
    <w:rsid w:val="005C2CEB"/>
    <w:rsid w:val="005C7145"/>
    <w:rsid w:val="005D080D"/>
    <w:rsid w:val="005D0BBA"/>
    <w:rsid w:val="005D4BBE"/>
    <w:rsid w:val="005D6D16"/>
    <w:rsid w:val="005E1822"/>
    <w:rsid w:val="005E73B5"/>
    <w:rsid w:val="006028C4"/>
    <w:rsid w:val="00605311"/>
    <w:rsid w:val="00607918"/>
    <w:rsid w:val="006115F7"/>
    <w:rsid w:val="00622678"/>
    <w:rsid w:val="006267F3"/>
    <w:rsid w:val="006323DC"/>
    <w:rsid w:val="00633DA7"/>
    <w:rsid w:val="006373FF"/>
    <w:rsid w:val="0064062C"/>
    <w:rsid w:val="00640821"/>
    <w:rsid w:val="00641271"/>
    <w:rsid w:val="00645590"/>
    <w:rsid w:val="00651045"/>
    <w:rsid w:val="00657597"/>
    <w:rsid w:val="00672C25"/>
    <w:rsid w:val="006809C2"/>
    <w:rsid w:val="00680F1D"/>
    <w:rsid w:val="00685166"/>
    <w:rsid w:val="006871F1"/>
    <w:rsid w:val="00690800"/>
    <w:rsid w:val="00692447"/>
    <w:rsid w:val="0069412A"/>
    <w:rsid w:val="006976D5"/>
    <w:rsid w:val="006A0CD6"/>
    <w:rsid w:val="006A20D5"/>
    <w:rsid w:val="006A60B0"/>
    <w:rsid w:val="006B3729"/>
    <w:rsid w:val="006B4978"/>
    <w:rsid w:val="006D3631"/>
    <w:rsid w:val="006D5C47"/>
    <w:rsid w:val="006D7110"/>
    <w:rsid w:val="006D767D"/>
    <w:rsid w:val="006E5A8B"/>
    <w:rsid w:val="006F45A4"/>
    <w:rsid w:val="007049C6"/>
    <w:rsid w:val="00711D92"/>
    <w:rsid w:val="0071281F"/>
    <w:rsid w:val="00725E73"/>
    <w:rsid w:val="0072774D"/>
    <w:rsid w:val="0073393D"/>
    <w:rsid w:val="00741347"/>
    <w:rsid w:val="00750BCD"/>
    <w:rsid w:val="00756B1C"/>
    <w:rsid w:val="0076076B"/>
    <w:rsid w:val="00774F43"/>
    <w:rsid w:val="00780C3E"/>
    <w:rsid w:val="0079025C"/>
    <w:rsid w:val="007A28EB"/>
    <w:rsid w:val="007A4DD4"/>
    <w:rsid w:val="007A758D"/>
    <w:rsid w:val="007B02F8"/>
    <w:rsid w:val="007C0FBB"/>
    <w:rsid w:val="007C5A18"/>
    <w:rsid w:val="007E2AD9"/>
    <w:rsid w:val="007E3822"/>
    <w:rsid w:val="007E593B"/>
    <w:rsid w:val="007E7C0E"/>
    <w:rsid w:val="007F7EBD"/>
    <w:rsid w:val="0080046D"/>
    <w:rsid w:val="00806984"/>
    <w:rsid w:val="0081686A"/>
    <w:rsid w:val="00823B9B"/>
    <w:rsid w:val="00823E0A"/>
    <w:rsid w:val="00833793"/>
    <w:rsid w:val="00833FC6"/>
    <w:rsid w:val="00837C87"/>
    <w:rsid w:val="008603A0"/>
    <w:rsid w:val="00865A45"/>
    <w:rsid w:val="008705B1"/>
    <w:rsid w:val="00871747"/>
    <w:rsid w:val="00891373"/>
    <w:rsid w:val="008A21AD"/>
    <w:rsid w:val="008B624C"/>
    <w:rsid w:val="008C4955"/>
    <w:rsid w:val="008D00DF"/>
    <w:rsid w:val="008D0465"/>
    <w:rsid w:val="008D571E"/>
    <w:rsid w:val="008E4895"/>
    <w:rsid w:val="008E5018"/>
    <w:rsid w:val="008F2D2E"/>
    <w:rsid w:val="008F38A4"/>
    <w:rsid w:val="008F4868"/>
    <w:rsid w:val="008F6A5F"/>
    <w:rsid w:val="00902F35"/>
    <w:rsid w:val="009108A4"/>
    <w:rsid w:val="00911707"/>
    <w:rsid w:val="00921AC3"/>
    <w:rsid w:val="00926910"/>
    <w:rsid w:val="00940484"/>
    <w:rsid w:val="009414DC"/>
    <w:rsid w:val="009672B0"/>
    <w:rsid w:val="0097079B"/>
    <w:rsid w:val="00971D2C"/>
    <w:rsid w:val="009806DC"/>
    <w:rsid w:val="00984C93"/>
    <w:rsid w:val="00994BFF"/>
    <w:rsid w:val="009A4AE2"/>
    <w:rsid w:val="009A6FC3"/>
    <w:rsid w:val="009B2CD8"/>
    <w:rsid w:val="009B3439"/>
    <w:rsid w:val="009B616D"/>
    <w:rsid w:val="009D4E3D"/>
    <w:rsid w:val="009E08BB"/>
    <w:rsid w:val="009F79D6"/>
    <w:rsid w:val="00A00893"/>
    <w:rsid w:val="00A06BE0"/>
    <w:rsid w:val="00A10592"/>
    <w:rsid w:val="00A11F63"/>
    <w:rsid w:val="00A2157C"/>
    <w:rsid w:val="00A25C3C"/>
    <w:rsid w:val="00A271F4"/>
    <w:rsid w:val="00A319ED"/>
    <w:rsid w:val="00A5022E"/>
    <w:rsid w:val="00A50C8E"/>
    <w:rsid w:val="00A57766"/>
    <w:rsid w:val="00A60224"/>
    <w:rsid w:val="00A65EED"/>
    <w:rsid w:val="00A70BBF"/>
    <w:rsid w:val="00A717EA"/>
    <w:rsid w:val="00A76DA4"/>
    <w:rsid w:val="00A8568B"/>
    <w:rsid w:val="00A8714B"/>
    <w:rsid w:val="00A9523B"/>
    <w:rsid w:val="00AA1F04"/>
    <w:rsid w:val="00AA3EDA"/>
    <w:rsid w:val="00AA4D12"/>
    <w:rsid w:val="00AA604A"/>
    <w:rsid w:val="00AA60CD"/>
    <w:rsid w:val="00AA6CB0"/>
    <w:rsid w:val="00AA7A30"/>
    <w:rsid w:val="00AB02A3"/>
    <w:rsid w:val="00AB4ADE"/>
    <w:rsid w:val="00AB6AE2"/>
    <w:rsid w:val="00AC13A5"/>
    <w:rsid w:val="00AC2C7F"/>
    <w:rsid w:val="00AF7B05"/>
    <w:rsid w:val="00B02B66"/>
    <w:rsid w:val="00B20826"/>
    <w:rsid w:val="00B309FD"/>
    <w:rsid w:val="00B51D4A"/>
    <w:rsid w:val="00B6353D"/>
    <w:rsid w:val="00B63EBA"/>
    <w:rsid w:val="00B66682"/>
    <w:rsid w:val="00B71D6B"/>
    <w:rsid w:val="00B747C9"/>
    <w:rsid w:val="00B76FA4"/>
    <w:rsid w:val="00B777ED"/>
    <w:rsid w:val="00B867BE"/>
    <w:rsid w:val="00B97089"/>
    <w:rsid w:val="00BA3CCD"/>
    <w:rsid w:val="00BA7351"/>
    <w:rsid w:val="00BB0752"/>
    <w:rsid w:val="00BB153F"/>
    <w:rsid w:val="00BC600E"/>
    <w:rsid w:val="00BD54E3"/>
    <w:rsid w:val="00BE7C4B"/>
    <w:rsid w:val="00BF5A31"/>
    <w:rsid w:val="00BF6CC4"/>
    <w:rsid w:val="00C07C07"/>
    <w:rsid w:val="00C135F2"/>
    <w:rsid w:val="00C24104"/>
    <w:rsid w:val="00C243BE"/>
    <w:rsid w:val="00C32A98"/>
    <w:rsid w:val="00C3305A"/>
    <w:rsid w:val="00C4249B"/>
    <w:rsid w:val="00C51783"/>
    <w:rsid w:val="00C52839"/>
    <w:rsid w:val="00C5309E"/>
    <w:rsid w:val="00C532FE"/>
    <w:rsid w:val="00C554D6"/>
    <w:rsid w:val="00C56B48"/>
    <w:rsid w:val="00C6312E"/>
    <w:rsid w:val="00C731E1"/>
    <w:rsid w:val="00C7412A"/>
    <w:rsid w:val="00C8495D"/>
    <w:rsid w:val="00C860ED"/>
    <w:rsid w:val="00C93F12"/>
    <w:rsid w:val="00CC0843"/>
    <w:rsid w:val="00CD032C"/>
    <w:rsid w:val="00CE0CE7"/>
    <w:rsid w:val="00D018AA"/>
    <w:rsid w:val="00D02FE5"/>
    <w:rsid w:val="00D037DB"/>
    <w:rsid w:val="00D11003"/>
    <w:rsid w:val="00D115CA"/>
    <w:rsid w:val="00D13CE5"/>
    <w:rsid w:val="00D24D47"/>
    <w:rsid w:val="00D2631E"/>
    <w:rsid w:val="00D26BF0"/>
    <w:rsid w:val="00D42F37"/>
    <w:rsid w:val="00D45CB4"/>
    <w:rsid w:val="00D5265E"/>
    <w:rsid w:val="00D544C6"/>
    <w:rsid w:val="00D62BA6"/>
    <w:rsid w:val="00D6768E"/>
    <w:rsid w:val="00D77F43"/>
    <w:rsid w:val="00D8421F"/>
    <w:rsid w:val="00D91ABF"/>
    <w:rsid w:val="00D92862"/>
    <w:rsid w:val="00DA1192"/>
    <w:rsid w:val="00DA39E0"/>
    <w:rsid w:val="00DB04B6"/>
    <w:rsid w:val="00DB370C"/>
    <w:rsid w:val="00DC3C8D"/>
    <w:rsid w:val="00DC4CD9"/>
    <w:rsid w:val="00DC65EF"/>
    <w:rsid w:val="00DD052B"/>
    <w:rsid w:val="00DD2EB5"/>
    <w:rsid w:val="00DD7BFF"/>
    <w:rsid w:val="00DE237D"/>
    <w:rsid w:val="00DE38FF"/>
    <w:rsid w:val="00DE69F2"/>
    <w:rsid w:val="00DE77E8"/>
    <w:rsid w:val="00DF09E2"/>
    <w:rsid w:val="00DF1841"/>
    <w:rsid w:val="00DF1BCB"/>
    <w:rsid w:val="00E04BBB"/>
    <w:rsid w:val="00E05C54"/>
    <w:rsid w:val="00E162C3"/>
    <w:rsid w:val="00E20C0F"/>
    <w:rsid w:val="00E302C4"/>
    <w:rsid w:val="00E42D30"/>
    <w:rsid w:val="00E42ECD"/>
    <w:rsid w:val="00E43EF5"/>
    <w:rsid w:val="00E4692F"/>
    <w:rsid w:val="00E50A5C"/>
    <w:rsid w:val="00E51D66"/>
    <w:rsid w:val="00E57838"/>
    <w:rsid w:val="00E63196"/>
    <w:rsid w:val="00E64FA4"/>
    <w:rsid w:val="00E75147"/>
    <w:rsid w:val="00E8466C"/>
    <w:rsid w:val="00E95A1D"/>
    <w:rsid w:val="00E96FCA"/>
    <w:rsid w:val="00E977AD"/>
    <w:rsid w:val="00EB12E0"/>
    <w:rsid w:val="00EC327E"/>
    <w:rsid w:val="00EC4560"/>
    <w:rsid w:val="00EC520E"/>
    <w:rsid w:val="00EC78B6"/>
    <w:rsid w:val="00ED429A"/>
    <w:rsid w:val="00ED7662"/>
    <w:rsid w:val="00F02B6C"/>
    <w:rsid w:val="00F02E02"/>
    <w:rsid w:val="00F050A3"/>
    <w:rsid w:val="00F20AAF"/>
    <w:rsid w:val="00F32C4D"/>
    <w:rsid w:val="00F42C13"/>
    <w:rsid w:val="00F447BD"/>
    <w:rsid w:val="00F56FAE"/>
    <w:rsid w:val="00F579FE"/>
    <w:rsid w:val="00F72692"/>
    <w:rsid w:val="00F77575"/>
    <w:rsid w:val="00F93363"/>
    <w:rsid w:val="00F97F6C"/>
    <w:rsid w:val="00FC47E6"/>
    <w:rsid w:val="00FC7B6E"/>
    <w:rsid w:val="00FD20F8"/>
    <w:rsid w:val="00FD66A0"/>
    <w:rsid w:val="00FE0C1F"/>
    <w:rsid w:val="00FE448F"/>
    <w:rsid w:val="00FE7B0F"/>
    <w:rsid w:val="00FF32B1"/>
    <w:rsid w:val="00FF5B9A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9CA5A"/>
  <w15:docId w15:val="{33395429-8461-4CB1-8D29-62EE025B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Char Char Char"/>
    <w:basedOn w:val="Normal"/>
    <w:link w:val="NormalWebChar"/>
    <w:uiPriority w:val="99"/>
    <w:qFormat/>
    <w:rsid w:val="00D115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32A9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BodyTextIndent3">
    <w:name w:val="Body Text Indent 3"/>
    <w:basedOn w:val="Normal"/>
    <w:link w:val="BodyTextIndent3Char"/>
    <w:unhideWhenUsed/>
    <w:rsid w:val="00230C9F"/>
    <w:pPr>
      <w:spacing w:after="120" w:line="240" w:lineRule="auto"/>
      <w:ind w:left="360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30C9F"/>
    <w:rPr>
      <w:rFonts w:eastAsia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0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2FE"/>
  </w:style>
  <w:style w:type="paragraph" w:styleId="Footer">
    <w:name w:val="footer"/>
    <w:basedOn w:val="Normal"/>
    <w:link w:val="FooterChar"/>
    <w:uiPriority w:val="99"/>
    <w:unhideWhenUsed/>
    <w:rsid w:val="00150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2FE"/>
  </w:style>
  <w:style w:type="paragraph" w:customStyle="1" w:styleId="TableContents">
    <w:name w:val="Table Contents"/>
    <w:basedOn w:val="Normal"/>
    <w:rsid w:val="00D5265E"/>
    <w:pPr>
      <w:suppressLineNumbers/>
      <w:suppressAutoHyphens/>
      <w:spacing w:after="200" w:line="276" w:lineRule="auto"/>
    </w:pPr>
    <w:rPr>
      <w:rFonts w:eastAsia="Arial" w:cs="Times New Roman"/>
      <w:sz w:val="24"/>
      <w:lang w:val="vi-VN" w:eastAsia="zh-CN"/>
    </w:rPr>
  </w:style>
  <w:style w:type="character" w:styleId="Strong">
    <w:name w:val="Strong"/>
    <w:uiPriority w:val="22"/>
    <w:qFormat/>
    <w:rsid w:val="00833793"/>
    <w:rPr>
      <w:b/>
      <w:bCs/>
    </w:rPr>
  </w:style>
  <w:style w:type="table" w:styleId="TableGrid">
    <w:name w:val="Table Grid"/>
    <w:basedOn w:val="TableNormal"/>
    <w:uiPriority w:val="59"/>
    <w:rsid w:val="00320ED7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rsid w:val="00C5309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7E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482718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NormalWebChar">
    <w:name w:val="Normal (Web) Char"/>
    <w:aliases w:val="Char Char Char Char"/>
    <w:link w:val="NormalWeb"/>
    <w:uiPriority w:val="99"/>
    <w:locked/>
    <w:rsid w:val="001A7C23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C1493-6091-4692-B59D-10F1DCA99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GhostBTT.Com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CMS</cp:lastModifiedBy>
  <cp:revision>9</cp:revision>
  <cp:lastPrinted>2023-03-09T03:59:00Z</cp:lastPrinted>
  <dcterms:created xsi:type="dcterms:W3CDTF">2024-07-22T02:00:00Z</dcterms:created>
  <dcterms:modified xsi:type="dcterms:W3CDTF">2024-07-22T02:24:00Z</dcterms:modified>
</cp:coreProperties>
</file>