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8C" w:rsidRDefault="006B19AD" w:rsidP="00A8758C">
      <w:pPr>
        <w:spacing w:after="0" w:line="240" w:lineRule="atLeast"/>
        <w:jc w:val="center"/>
        <w:rPr>
          <w:rFonts w:cs="Times New Roman"/>
          <w:b/>
          <w:bCs/>
          <w:sz w:val="26"/>
          <w:szCs w:val="26"/>
        </w:rPr>
      </w:pPr>
      <w:r w:rsidRPr="001D4B2D">
        <w:rPr>
          <w:rFonts w:ascii="Times New Roman Bold" w:hAnsi="Times New Roman Bold" w:cs="Times New Roman"/>
          <w:b/>
          <w:bCs/>
          <w:spacing w:val="-6"/>
          <w:sz w:val="26"/>
          <w:szCs w:val="26"/>
        </w:rPr>
        <w:t>DANH MỤC</w:t>
      </w:r>
      <w:r w:rsidR="00DB16FC" w:rsidRPr="001D4B2D">
        <w:rPr>
          <w:rFonts w:ascii="Times New Roman Bold" w:hAnsi="Times New Roman Bold" w:cs="Times New Roman"/>
          <w:b/>
          <w:bCs/>
          <w:spacing w:val="-6"/>
          <w:sz w:val="26"/>
          <w:szCs w:val="26"/>
        </w:rPr>
        <w:t xml:space="preserve"> </w:t>
      </w:r>
      <w:r w:rsidR="009F29D5" w:rsidRPr="001D4B2D">
        <w:rPr>
          <w:rFonts w:ascii="Times New Roman Bold" w:hAnsi="Times New Roman Bold" w:cs="Times New Roman"/>
          <w:b/>
          <w:bCs/>
          <w:spacing w:val="-6"/>
          <w:sz w:val="26"/>
          <w:szCs w:val="26"/>
          <w:lang w:val="vi-VN"/>
        </w:rPr>
        <w:t>THỦ TỤC HÀNH CHÍNH VÀ QUY TRÌNH NỘI BỘ GIẢ</w:t>
      </w:r>
      <w:r w:rsidR="001D4B2D" w:rsidRPr="001D4B2D">
        <w:rPr>
          <w:rFonts w:ascii="Times New Roman Bold" w:hAnsi="Times New Roman Bold" w:cs="Times New Roman"/>
          <w:b/>
          <w:bCs/>
          <w:spacing w:val="-6"/>
          <w:sz w:val="26"/>
          <w:szCs w:val="26"/>
          <w:lang w:val="vi-VN"/>
        </w:rPr>
        <w:t>I</w:t>
      </w:r>
      <w:r w:rsidR="001D4B2D">
        <w:rPr>
          <w:rFonts w:asciiTheme="minorHAnsi" w:hAnsiTheme="minorHAnsi" w:cs="Times New Roman"/>
          <w:b/>
          <w:bCs/>
          <w:spacing w:val="-6"/>
          <w:sz w:val="26"/>
          <w:szCs w:val="26"/>
        </w:rPr>
        <w:t xml:space="preserve"> </w:t>
      </w:r>
      <w:r w:rsidR="009F29D5" w:rsidRPr="001D4B2D">
        <w:rPr>
          <w:rFonts w:ascii="Times New Roman Bold" w:hAnsi="Times New Roman Bold" w:cs="Times New Roman"/>
          <w:b/>
          <w:bCs/>
          <w:spacing w:val="-6"/>
          <w:sz w:val="26"/>
          <w:szCs w:val="26"/>
          <w:lang w:val="vi-VN"/>
        </w:rPr>
        <w:t>QUYẾT</w:t>
      </w:r>
      <w:r w:rsidR="009F29D5" w:rsidRPr="001D4B2D">
        <w:rPr>
          <w:rFonts w:cs="Times New Roman"/>
          <w:b/>
          <w:bCs/>
          <w:sz w:val="26"/>
          <w:szCs w:val="26"/>
          <w:lang w:val="vi-VN"/>
        </w:rPr>
        <w:t xml:space="preserve"> </w:t>
      </w:r>
      <w:r w:rsidRPr="001D4B2D">
        <w:rPr>
          <w:rFonts w:cs="Times New Roman"/>
          <w:b/>
          <w:bCs/>
          <w:sz w:val="26"/>
          <w:szCs w:val="26"/>
        </w:rPr>
        <w:t>THỦ TỤC HÀNH CHÍNH</w:t>
      </w:r>
      <w:r w:rsidR="00BF377F" w:rsidRPr="001D4B2D">
        <w:rPr>
          <w:rFonts w:cs="Times New Roman"/>
          <w:b/>
          <w:bCs/>
          <w:sz w:val="26"/>
          <w:szCs w:val="26"/>
          <w:lang w:val="vi-VN"/>
        </w:rPr>
        <w:t xml:space="preserve"> </w:t>
      </w:r>
      <w:r w:rsidRPr="001D4B2D">
        <w:rPr>
          <w:rFonts w:cs="Times New Roman"/>
          <w:b/>
          <w:bCs/>
          <w:sz w:val="26"/>
          <w:szCs w:val="26"/>
          <w:lang w:val="vi-VN"/>
        </w:rPr>
        <w:t>BỊ BÃI BỎ</w:t>
      </w:r>
      <w:r w:rsidR="009B738A" w:rsidRPr="001D4B2D">
        <w:rPr>
          <w:rFonts w:cs="Times New Roman"/>
          <w:b/>
          <w:bCs/>
          <w:sz w:val="26"/>
          <w:szCs w:val="26"/>
        </w:rPr>
        <w:t xml:space="preserve"> </w:t>
      </w:r>
      <w:r w:rsidRPr="001D4B2D">
        <w:rPr>
          <w:rFonts w:cs="Times New Roman"/>
          <w:b/>
          <w:bCs/>
          <w:sz w:val="26"/>
          <w:szCs w:val="26"/>
          <w:lang w:val="vi-VN"/>
        </w:rPr>
        <w:t>TRONG LĨNH VỰ</w:t>
      </w:r>
      <w:r w:rsidR="00A83EF9" w:rsidRPr="001D4B2D">
        <w:rPr>
          <w:rFonts w:cs="Times New Roman"/>
          <w:b/>
          <w:bCs/>
          <w:sz w:val="26"/>
          <w:szCs w:val="26"/>
          <w:lang w:val="vi-VN"/>
        </w:rPr>
        <w:t>C</w:t>
      </w:r>
      <w:r w:rsidR="00A83EF9" w:rsidRPr="001D4B2D">
        <w:rPr>
          <w:rFonts w:cs="Times New Roman"/>
          <w:b/>
          <w:bCs/>
          <w:sz w:val="26"/>
          <w:szCs w:val="26"/>
        </w:rPr>
        <w:t xml:space="preserve"> </w:t>
      </w:r>
      <w:r w:rsidR="00A8758C">
        <w:rPr>
          <w:rFonts w:cs="Times New Roman"/>
          <w:b/>
          <w:bCs/>
          <w:sz w:val="26"/>
          <w:szCs w:val="26"/>
        </w:rPr>
        <w:t xml:space="preserve">HOẠT ĐỘNG </w:t>
      </w:r>
      <w:r w:rsidR="009F29D5" w:rsidRPr="001D4B2D">
        <w:rPr>
          <w:rFonts w:cs="Times New Roman"/>
          <w:b/>
          <w:bCs/>
          <w:sz w:val="26"/>
          <w:szCs w:val="26"/>
          <w:lang w:val="vi-VN"/>
        </w:rPr>
        <w:t xml:space="preserve">KHOA HỌC VÀ CÔNG NGHỆ </w:t>
      </w:r>
      <w:r w:rsidRPr="001D4B2D">
        <w:rPr>
          <w:rFonts w:cs="Times New Roman"/>
          <w:b/>
          <w:bCs/>
          <w:sz w:val="26"/>
          <w:szCs w:val="26"/>
          <w:lang w:val="vi-VN"/>
        </w:rPr>
        <w:t>THUỘC PHẠM VI</w:t>
      </w:r>
      <w:r w:rsidR="00BF377F" w:rsidRPr="001D4B2D">
        <w:rPr>
          <w:rFonts w:cs="Times New Roman"/>
          <w:b/>
          <w:bCs/>
          <w:sz w:val="26"/>
          <w:szCs w:val="26"/>
          <w:lang w:val="vi-VN"/>
        </w:rPr>
        <w:t xml:space="preserve"> </w:t>
      </w:r>
      <w:r w:rsidR="00A83EF9" w:rsidRPr="001D4B2D">
        <w:rPr>
          <w:rFonts w:cs="Times New Roman"/>
          <w:b/>
          <w:bCs/>
          <w:sz w:val="26"/>
          <w:szCs w:val="26"/>
        </w:rPr>
        <w:t xml:space="preserve">CHỨC NĂNG </w:t>
      </w:r>
    </w:p>
    <w:p w:rsidR="006B19AD" w:rsidRPr="001D4B2D" w:rsidRDefault="006B19AD" w:rsidP="00A8758C">
      <w:pPr>
        <w:spacing w:after="0" w:line="240" w:lineRule="atLeast"/>
        <w:jc w:val="center"/>
        <w:rPr>
          <w:rFonts w:cs="Times New Roman"/>
          <w:b/>
          <w:bCs/>
          <w:sz w:val="26"/>
          <w:szCs w:val="26"/>
        </w:rPr>
      </w:pPr>
      <w:r w:rsidRPr="001D4B2D">
        <w:rPr>
          <w:rFonts w:cs="Times New Roman"/>
          <w:b/>
          <w:bCs/>
          <w:sz w:val="26"/>
          <w:szCs w:val="26"/>
          <w:lang w:val="vi-VN"/>
        </w:rPr>
        <w:t xml:space="preserve">QUẢN LÝ </w:t>
      </w:r>
      <w:r w:rsidR="009F29D5" w:rsidRPr="001D4B2D">
        <w:rPr>
          <w:rFonts w:cs="Times New Roman"/>
          <w:b/>
          <w:bCs/>
          <w:sz w:val="26"/>
          <w:szCs w:val="26"/>
          <w:lang w:val="vi-VN"/>
        </w:rPr>
        <w:t xml:space="preserve">NHÀ NƯỚC </w:t>
      </w:r>
      <w:r w:rsidRPr="001D4B2D">
        <w:rPr>
          <w:rFonts w:cs="Times New Roman"/>
          <w:b/>
          <w:bCs/>
          <w:sz w:val="26"/>
          <w:szCs w:val="26"/>
          <w:lang w:val="vi-VN"/>
        </w:rPr>
        <w:t>CỦA SỞ KHOA HỌC VÀ CÔNG NGHỆ</w:t>
      </w:r>
    </w:p>
    <w:p w:rsidR="006F3C18" w:rsidRDefault="00A83EF9" w:rsidP="00DB16FC">
      <w:pPr>
        <w:spacing w:after="0" w:line="240" w:lineRule="atLeast"/>
        <w:jc w:val="center"/>
        <w:rPr>
          <w:rFonts w:cs="Times New Roman"/>
          <w:i/>
          <w:sz w:val="26"/>
          <w:szCs w:val="26"/>
        </w:rPr>
      </w:pPr>
      <w:r w:rsidRPr="001D4B2D">
        <w:rPr>
          <w:rFonts w:cs="Times New Roman"/>
          <w:i/>
          <w:sz w:val="26"/>
          <w:szCs w:val="26"/>
          <w:lang w:val="vi-VN"/>
        </w:rPr>
        <w:t>(Ban hành kè</w:t>
      </w:r>
      <w:r w:rsidRPr="001D4B2D">
        <w:rPr>
          <w:rFonts w:cs="Times New Roman"/>
          <w:i/>
          <w:sz w:val="26"/>
          <w:szCs w:val="26"/>
        </w:rPr>
        <w:t>m</w:t>
      </w:r>
      <w:r w:rsidR="006B19AD" w:rsidRPr="001D4B2D">
        <w:rPr>
          <w:rFonts w:cs="Times New Roman"/>
          <w:i/>
          <w:sz w:val="26"/>
          <w:szCs w:val="26"/>
          <w:lang w:val="vi-VN"/>
        </w:rPr>
        <w:t xml:space="preserve"> theo Quyết định số</w:t>
      </w:r>
      <w:r w:rsidR="006D1198">
        <w:rPr>
          <w:rFonts w:cs="Times New Roman"/>
          <w:i/>
          <w:sz w:val="26"/>
          <w:szCs w:val="26"/>
          <w:lang w:val="vi-VN"/>
        </w:rPr>
        <w:t xml:space="preserve">: </w:t>
      </w:r>
      <w:r w:rsidR="006D1198">
        <w:rPr>
          <w:rFonts w:cs="Times New Roman"/>
          <w:i/>
          <w:sz w:val="26"/>
          <w:szCs w:val="26"/>
        </w:rPr>
        <w:t>1730</w:t>
      </w:r>
      <w:r w:rsidR="006B19AD" w:rsidRPr="001D4B2D">
        <w:rPr>
          <w:rFonts w:cs="Times New Roman"/>
          <w:i/>
          <w:sz w:val="26"/>
          <w:szCs w:val="26"/>
          <w:lang w:val="vi-VN"/>
        </w:rPr>
        <w:t xml:space="preserve">/QĐ-UBND ngày </w:t>
      </w:r>
      <w:r w:rsidR="00DB16FC" w:rsidRPr="001D4B2D">
        <w:rPr>
          <w:rFonts w:cs="Times New Roman"/>
          <w:i/>
          <w:sz w:val="26"/>
          <w:szCs w:val="26"/>
          <w:lang w:val="vi-VN"/>
        </w:rPr>
        <w:t xml:space="preserve"> </w:t>
      </w:r>
      <w:r w:rsidR="006D1198">
        <w:rPr>
          <w:rFonts w:cs="Times New Roman"/>
          <w:i/>
          <w:sz w:val="26"/>
          <w:szCs w:val="26"/>
        </w:rPr>
        <w:t>18/8</w:t>
      </w:r>
      <w:r w:rsidR="00DB16FC" w:rsidRPr="001D4B2D">
        <w:rPr>
          <w:rFonts w:cs="Times New Roman"/>
          <w:i/>
          <w:sz w:val="26"/>
          <w:szCs w:val="26"/>
        </w:rPr>
        <w:t>/</w:t>
      </w:r>
      <w:r w:rsidR="00ED1E6B" w:rsidRPr="001D4B2D">
        <w:rPr>
          <w:rFonts w:cs="Times New Roman"/>
          <w:i/>
          <w:sz w:val="26"/>
          <w:szCs w:val="26"/>
          <w:lang w:val="vi-VN"/>
        </w:rPr>
        <w:t>202</w:t>
      </w:r>
      <w:r w:rsidR="009F29D5" w:rsidRPr="001D4B2D">
        <w:rPr>
          <w:rFonts w:cs="Times New Roman"/>
          <w:i/>
          <w:sz w:val="26"/>
          <w:szCs w:val="26"/>
          <w:lang w:val="vi-VN"/>
        </w:rPr>
        <w:t>3</w:t>
      </w:r>
    </w:p>
    <w:p w:rsidR="006B19AD" w:rsidRPr="006F3C18" w:rsidRDefault="009F29D5" w:rsidP="006F3C18">
      <w:pPr>
        <w:spacing w:after="0" w:line="240" w:lineRule="atLeast"/>
        <w:jc w:val="center"/>
        <w:rPr>
          <w:rFonts w:cs="Times New Roman"/>
          <w:i/>
          <w:sz w:val="26"/>
          <w:szCs w:val="26"/>
        </w:rPr>
      </w:pPr>
      <w:r w:rsidRPr="001D4B2D">
        <w:rPr>
          <w:rFonts w:cs="Times New Roman"/>
          <w:i/>
          <w:sz w:val="26"/>
          <w:szCs w:val="26"/>
          <w:lang w:val="vi-VN"/>
        </w:rPr>
        <w:t xml:space="preserve"> </w:t>
      </w:r>
      <w:r w:rsidR="006B19AD" w:rsidRPr="001D4B2D">
        <w:rPr>
          <w:rFonts w:cs="Times New Roman"/>
          <w:i/>
          <w:sz w:val="26"/>
          <w:szCs w:val="26"/>
          <w:lang w:val="vi-VN"/>
        </w:rPr>
        <w:t>của Chủ tị</w:t>
      </w:r>
      <w:r w:rsidR="006F3C18">
        <w:rPr>
          <w:rFonts w:cs="Times New Roman"/>
          <w:i/>
          <w:sz w:val="26"/>
          <w:szCs w:val="26"/>
          <w:lang w:val="vi-VN"/>
        </w:rPr>
        <w:t>ch</w:t>
      </w:r>
      <w:r w:rsidR="006F3C18">
        <w:rPr>
          <w:rFonts w:cs="Times New Roman"/>
          <w:i/>
          <w:sz w:val="26"/>
          <w:szCs w:val="26"/>
        </w:rPr>
        <w:t xml:space="preserve"> UBND tỉnh </w:t>
      </w:r>
      <w:r w:rsidR="00A83EF9" w:rsidRPr="001D4B2D">
        <w:rPr>
          <w:rFonts w:cs="Times New Roman"/>
          <w:i/>
          <w:sz w:val="26"/>
          <w:szCs w:val="26"/>
        </w:rPr>
        <w:t>Hưng Yên</w:t>
      </w:r>
      <w:r w:rsidR="006B19AD" w:rsidRPr="001D4B2D">
        <w:rPr>
          <w:rFonts w:cs="Times New Roman"/>
          <w:i/>
          <w:sz w:val="26"/>
          <w:szCs w:val="26"/>
          <w:lang w:val="vi-VN"/>
        </w:rPr>
        <w:t>)</w:t>
      </w:r>
    </w:p>
    <w:p w:rsidR="006B19AD" w:rsidRPr="001D4B2D" w:rsidRDefault="006D1198" w:rsidP="006B19AD">
      <w:pPr>
        <w:spacing w:after="0" w:line="240" w:lineRule="atLeast"/>
        <w:jc w:val="center"/>
        <w:rPr>
          <w:rFonts w:cs="Times New Roman"/>
          <w:sz w:val="26"/>
          <w:szCs w:val="26"/>
          <w:lang w:val="vi-VN"/>
        </w:rPr>
      </w:pPr>
      <w:r>
        <w:rPr>
          <w:rFonts w:cs="Times New Roman"/>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177.45pt;margin-top:1.95pt;width:79.5pt;height:0;z-index:251658240" o:connectortype="straight"/>
        </w:pict>
      </w:r>
    </w:p>
    <w:p w:rsidR="009F29D5" w:rsidRPr="001D4B2D" w:rsidRDefault="009F29D5" w:rsidP="006B19AD">
      <w:pPr>
        <w:spacing w:after="0" w:line="240" w:lineRule="atLeast"/>
        <w:ind w:left="360"/>
        <w:rPr>
          <w:rFonts w:cs="Times New Roman"/>
          <w:b/>
          <w:bCs/>
          <w:sz w:val="26"/>
          <w:szCs w:val="26"/>
          <w:lang w:val="vi-VN"/>
        </w:rPr>
      </w:pPr>
    </w:p>
    <w:p w:rsidR="006B19AD" w:rsidRPr="001D4B2D" w:rsidRDefault="009F29D5" w:rsidP="00BF377F">
      <w:pPr>
        <w:spacing w:after="0" w:line="240" w:lineRule="atLeast"/>
        <w:ind w:firstLine="720"/>
        <w:jc w:val="both"/>
        <w:rPr>
          <w:rFonts w:cs="Times New Roman"/>
          <w:b/>
          <w:bCs/>
          <w:sz w:val="26"/>
          <w:szCs w:val="26"/>
        </w:rPr>
      </w:pPr>
      <w:r w:rsidRPr="001D4B2D">
        <w:rPr>
          <w:rFonts w:cs="Times New Roman"/>
          <w:b/>
          <w:bCs/>
          <w:sz w:val="26"/>
          <w:szCs w:val="26"/>
          <w:lang w:val="vi-VN"/>
        </w:rPr>
        <w:t>I. DANH MỤC THỦ TỤC HÀNH CHÍNH BỊ BÃI BỎ</w:t>
      </w:r>
      <w:r w:rsidR="00A83EF9" w:rsidRPr="001D4B2D">
        <w:rPr>
          <w:rFonts w:cs="Times New Roman"/>
          <w:b/>
          <w:bCs/>
          <w:sz w:val="26"/>
          <w:szCs w:val="26"/>
        </w:rPr>
        <w:t xml:space="preserve"> THUỘC THẨM QUYỀN GIẢI QUYẾT CẤP TỈNH </w:t>
      </w:r>
      <w:bookmarkStart w:id="0" w:name="_GoBack"/>
      <w:bookmarkEnd w:id="0"/>
    </w:p>
    <w:p w:rsidR="009F29D5" w:rsidRPr="001D4B2D" w:rsidRDefault="009F29D5" w:rsidP="006B19AD">
      <w:pPr>
        <w:spacing w:after="0" w:line="240" w:lineRule="atLeast"/>
        <w:ind w:left="360"/>
        <w:rPr>
          <w:rFonts w:cs="Times New Roman"/>
          <w:b/>
          <w:bCs/>
          <w:sz w:val="26"/>
          <w:szCs w:val="26"/>
          <w:lang w:val="vi-VN"/>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84"/>
        <w:gridCol w:w="1881"/>
        <w:gridCol w:w="2172"/>
        <w:gridCol w:w="1526"/>
        <w:gridCol w:w="2168"/>
      </w:tblGrid>
      <w:tr w:rsidR="00BF377F" w:rsidRPr="001D4B2D" w:rsidTr="008111B2">
        <w:trPr>
          <w:trHeight w:val="1161"/>
          <w:tblHeader/>
        </w:trPr>
        <w:tc>
          <w:tcPr>
            <w:tcW w:w="568" w:type="dxa"/>
            <w:vAlign w:val="center"/>
          </w:tcPr>
          <w:p w:rsidR="006B19AD" w:rsidRPr="001D4B2D" w:rsidRDefault="006B19AD" w:rsidP="009A36E8">
            <w:pPr>
              <w:spacing w:after="0" w:line="240" w:lineRule="atLeast"/>
              <w:jc w:val="center"/>
              <w:rPr>
                <w:rFonts w:cs="Times New Roman"/>
                <w:b/>
                <w:sz w:val="26"/>
                <w:szCs w:val="26"/>
                <w:lang w:val="vi-VN"/>
              </w:rPr>
            </w:pPr>
            <w:r w:rsidRPr="001D4B2D">
              <w:rPr>
                <w:rFonts w:cs="Times New Roman"/>
                <w:b/>
                <w:sz w:val="26"/>
                <w:szCs w:val="26"/>
              </w:rPr>
              <w:t>S</w:t>
            </w:r>
            <w:r w:rsidR="00BF377F" w:rsidRPr="001D4B2D">
              <w:rPr>
                <w:rFonts w:cs="Times New Roman"/>
                <w:b/>
                <w:sz w:val="26"/>
                <w:szCs w:val="26"/>
                <w:lang w:val="vi-VN"/>
              </w:rPr>
              <w:t>tt</w:t>
            </w:r>
          </w:p>
          <w:p w:rsidR="006B19AD" w:rsidRPr="001D4B2D" w:rsidRDefault="006B19AD" w:rsidP="009A36E8">
            <w:pPr>
              <w:spacing w:after="0" w:line="240" w:lineRule="atLeast"/>
              <w:jc w:val="center"/>
              <w:rPr>
                <w:rFonts w:cs="Times New Roman"/>
                <w:b/>
                <w:sz w:val="26"/>
                <w:szCs w:val="26"/>
              </w:rPr>
            </w:pPr>
          </w:p>
        </w:tc>
        <w:tc>
          <w:tcPr>
            <w:tcW w:w="1284" w:type="dxa"/>
            <w:vAlign w:val="center"/>
          </w:tcPr>
          <w:p w:rsidR="006B19AD" w:rsidRPr="001D4B2D" w:rsidRDefault="006B19AD" w:rsidP="009A36E8">
            <w:pPr>
              <w:spacing w:after="0" w:line="240" w:lineRule="atLeast"/>
              <w:jc w:val="center"/>
              <w:rPr>
                <w:rFonts w:cs="Times New Roman"/>
                <w:b/>
                <w:sz w:val="26"/>
                <w:szCs w:val="26"/>
              </w:rPr>
            </w:pPr>
            <w:r w:rsidRPr="001D4B2D">
              <w:rPr>
                <w:rFonts w:cs="Times New Roman"/>
                <w:b/>
                <w:sz w:val="26"/>
                <w:szCs w:val="26"/>
              </w:rPr>
              <w:t>Số hồ sơ TTHC</w:t>
            </w:r>
          </w:p>
        </w:tc>
        <w:tc>
          <w:tcPr>
            <w:tcW w:w="1881" w:type="dxa"/>
            <w:vAlign w:val="center"/>
          </w:tcPr>
          <w:p w:rsidR="006B19AD" w:rsidRPr="001D4B2D" w:rsidRDefault="006B19AD" w:rsidP="009A36E8">
            <w:pPr>
              <w:spacing w:after="0" w:line="240" w:lineRule="atLeast"/>
              <w:jc w:val="center"/>
              <w:rPr>
                <w:rFonts w:cs="Times New Roman"/>
                <w:b/>
                <w:sz w:val="26"/>
                <w:szCs w:val="26"/>
              </w:rPr>
            </w:pPr>
            <w:r w:rsidRPr="001D4B2D">
              <w:rPr>
                <w:rFonts w:cs="Times New Roman"/>
                <w:b/>
                <w:sz w:val="26"/>
                <w:szCs w:val="26"/>
              </w:rPr>
              <w:t>Tên TTHC</w:t>
            </w:r>
          </w:p>
        </w:tc>
        <w:tc>
          <w:tcPr>
            <w:tcW w:w="2172" w:type="dxa"/>
            <w:vAlign w:val="center"/>
          </w:tcPr>
          <w:p w:rsidR="006B19AD" w:rsidRPr="001D4B2D" w:rsidRDefault="006B19AD" w:rsidP="009A36E8">
            <w:pPr>
              <w:spacing w:after="0" w:line="240" w:lineRule="atLeast"/>
              <w:jc w:val="center"/>
              <w:rPr>
                <w:rFonts w:cs="Times New Roman"/>
                <w:b/>
                <w:sz w:val="26"/>
                <w:szCs w:val="26"/>
              </w:rPr>
            </w:pPr>
            <w:r w:rsidRPr="001D4B2D">
              <w:rPr>
                <w:rFonts w:cs="Times New Roman"/>
                <w:b/>
                <w:sz w:val="26"/>
                <w:szCs w:val="26"/>
              </w:rPr>
              <w:t>Tên VBQPPL quy định việc bãi bỏ TTHC</w:t>
            </w:r>
          </w:p>
        </w:tc>
        <w:tc>
          <w:tcPr>
            <w:tcW w:w="1526" w:type="dxa"/>
            <w:vAlign w:val="center"/>
          </w:tcPr>
          <w:p w:rsidR="006B19AD" w:rsidRPr="001D4B2D" w:rsidRDefault="006B19AD" w:rsidP="009A36E8">
            <w:pPr>
              <w:spacing w:after="0" w:line="240" w:lineRule="atLeast"/>
              <w:jc w:val="center"/>
              <w:rPr>
                <w:rFonts w:cs="Times New Roman"/>
                <w:b/>
                <w:sz w:val="26"/>
                <w:szCs w:val="26"/>
                <w:lang w:val="vi-VN"/>
              </w:rPr>
            </w:pPr>
            <w:r w:rsidRPr="001D4B2D">
              <w:rPr>
                <w:rFonts w:cs="Times New Roman"/>
                <w:b/>
                <w:sz w:val="26"/>
                <w:szCs w:val="26"/>
              </w:rPr>
              <w:t>Cơ quan</w:t>
            </w:r>
          </w:p>
          <w:p w:rsidR="006B19AD" w:rsidRPr="001D4B2D" w:rsidRDefault="006B19AD" w:rsidP="009A36E8">
            <w:pPr>
              <w:spacing w:after="0" w:line="240" w:lineRule="atLeast"/>
              <w:jc w:val="center"/>
              <w:rPr>
                <w:rFonts w:cs="Times New Roman"/>
                <w:b/>
                <w:sz w:val="26"/>
                <w:szCs w:val="26"/>
              </w:rPr>
            </w:pPr>
            <w:r w:rsidRPr="001D4B2D">
              <w:rPr>
                <w:rFonts w:cs="Times New Roman"/>
                <w:b/>
                <w:sz w:val="26"/>
                <w:szCs w:val="26"/>
              </w:rPr>
              <w:t>thực hiện</w:t>
            </w:r>
          </w:p>
        </w:tc>
        <w:tc>
          <w:tcPr>
            <w:tcW w:w="2168" w:type="dxa"/>
            <w:vAlign w:val="center"/>
          </w:tcPr>
          <w:p w:rsidR="006B19AD" w:rsidRPr="001D4B2D" w:rsidRDefault="006B19AD" w:rsidP="009A36E8">
            <w:pPr>
              <w:spacing w:after="0" w:line="240" w:lineRule="atLeast"/>
              <w:jc w:val="center"/>
              <w:rPr>
                <w:rFonts w:cs="Times New Roman"/>
                <w:b/>
                <w:sz w:val="26"/>
                <w:szCs w:val="26"/>
              </w:rPr>
            </w:pPr>
            <w:r w:rsidRPr="001D4B2D">
              <w:rPr>
                <w:rFonts w:cs="Times New Roman"/>
                <w:b/>
                <w:sz w:val="26"/>
                <w:szCs w:val="26"/>
              </w:rPr>
              <w:t>Ghi chú</w:t>
            </w:r>
          </w:p>
          <w:p w:rsidR="006B19AD" w:rsidRPr="001D4B2D" w:rsidRDefault="006B19AD" w:rsidP="00DB16FC">
            <w:pPr>
              <w:spacing w:after="0" w:line="240" w:lineRule="atLeast"/>
              <w:jc w:val="both"/>
              <w:rPr>
                <w:rFonts w:cs="Times New Roman"/>
                <w:i/>
                <w:sz w:val="26"/>
                <w:szCs w:val="26"/>
              </w:rPr>
            </w:pPr>
          </w:p>
        </w:tc>
      </w:tr>
      <w:tr w:rsidR="00BF377F" w:rsidRPr="001D4B2D" w:rsidTr="008111B2">
        <w:trPr>
          <w:trHeight w:val="3467"/>
          <w:tblHeader/>
        </w:trPr>
        <w:tc>
          <w:tcPr>
            <w:tcW w:w="568" w:type="dxa"/>
          </w:tcPr>
          <w:p w:rsidR="006B19AD" w:rsidRPr="001D4B2D" w:rsidRDefault="006B19AD" w:rsidP="009214F4">
            <w:pPr>
              <w:spacing w:after="0" w:line="240" w:lineRule="atLeast"/>
              <w:jc w:val="center"/>
              <w:rPr>
                <w:rFonts w:cs="Times New Roman"/>
                <w:bCs/>
                <w:sz w:val="26"/>
                <w:szCs w:val="26"/>
              </w:rPr>
            </w:pPr>
            <w:r w:rsidRPr="001D4B2D">
              <w:rPr>
                <w:rFonts w:cs="Times New Roman"/>
                <w:bCs/>
                <w:sz w:val="26"/>
                <w:szCs w:val="26"/>
              </w:rPr>
              <w:t>1</w:t>
            </w:r>
          </w:p>
        </w:tc>
        <w:tc>
          <w:tcPr>
            <w:tcW w:w="1284" w:type="dxa"/>
          </w:tcPr>
          <w:p w:rsidR="006B19AD" w:rsidRPr="001D4B2D" w:rsidRDefault="009F29D5" w:rsidP="009214F4">
            <w:pPr>
              <w:spacing w:after="0" w:line="240" w:lineRule="atLeast"/>
              <w:jc w:val="both"/>
              <w:rPr>
                <w:rFonts w:cs="Times New Roman"/>
                <w:b/>
                <w:sz w:val="26"/>
                <w:szCs w:val="26"/>
                <w:lang w:val="vi-VN"/>
              </w:rPr>
            </w:pPr>
            <w:r w:rsidRPr="001D4B2D">
              <w:rPr>
                <w:rFonts w:cs="Times New Roman"/>
                <w:sz w:val="26"/>
                <w:szCs w:val="26"/>
                <w:lang w:val="vi-VN"/>
              </w:rPr>
              <w:t>2.001248</w:t>
            </w:r>
          </w:p>
        </w:tc>
        <w:tc>
          <w:tcPr>
            <w:tcW w:w="1881" w:type="dxa"/>
          </w:tcPr>
          <w:p w:rsidR="006B19AD" w:rsidRPr="001D4B2D" w:rsidRDefault="009F29D5" w:rsidP="009214F4">
            <w:pPr>
              <w:spacing w:after="0" w:line="240" w:lineRule="atLeast"/>
              <w:jc w:val="both"/>
              <w:rPr>
                <w:rFonts w:cs="Times New Roman"/>
                <w:sz w:val="26"/>
                <w:szCs w:val="26"/>
                <w:lang w:val="vi-VN"/>
              </w:rPr>
            </w:pPr>
            <w:r w:rsidRPr="001D4B2D">
              <w:rPr>
                <w:rFonts w:cs="Times New Roman"/>
                <w:sz w:val="26"/>
                <w:szCs w:val="26"/>
                <w:lang w:val="vi-VN"/>
              </w:rPr>
              <w:t>Thủ tục xác định nhiệm vụ khoa học và công nghệ cấp quốc gia sử dụng ngân sách nhà nước</w:t>
            </w:r>
          </w:p>
        </w:tc>
        <w:tc>
          <w:tcPr>
            <w:tcW w:w="2172" w:type="dxa"/>
          </w:tcPr>
          <w:p w:rsidR="006B19AD" w:rsidRPr="001D4B2D" w:rsidRDefault="009F29D5" w:rsidP="009A36E8">
            <w:pPr>
              <w:suppressLineNumbers/>
              <w:suppressAutoHyphens/>
              <w:spacing w:after="0" w:line="240" w:lineRule="atLeast"/>
              <w:jc w:val="both"/>
              <w:rPr>
                <w:rFonts w:cs="Times New Roman"/>
                <w:spacing w:val="-4"/>
                <w:sz w:val="26"/>
                <w:szCs w:val="26"/>
                <w:lang w:val="vi-VN"/>
              </w:rPr>
            </w:pPr>
            <w:r w:rsidRPr="001D4B2D">
              <w:rPr>
                <w:rFonts w:cs="Times New Roman"/>
                <w:spacing w:val="-4"/>
                <w:sz w:val="26"/>
                <w:szCs w:val="26"/>
                <w:lang w:val="vi-VN"/>
              </w:rPr>
              <w:t>Thông tư số 06/2023/TT-BKHCN ngày 25/5/2023 quy định trình tự, thủ tục xác định nhiệm vụ khoa học và công nghệ cấp quốc gia sử dụng ngân sách nhà nước</w:t>
            </w:r>
          </w:p>
        </w:tc>
        <w:tc>
          <w:tcPr>
            <w:tcW w:w="1526" w:type="dxa"/>
          </w:tcPr>
          <w:p w:rsidR="006B19AD" w:rsidRPr="001D4B2D" w:rsidRDefault="006B19AD" w:rsidP="009A36E8">
            <w:pPr>
              <w:spacing w:after="0" w:line="240" w:lineRule="atLeast"/>
              <w:jc w:val="both"/>
              <w:rPr>
                <w:rFonts w:cs="Times New Roman"/>
                <w:bCs/>
                <w:sz w:val="26"/>
                <w:szCs w:val="26"/>
                <w:lang w:val="vi-VN"/>
              </w:rPr>
            </w:pPr>
            <w:r w:rsidRPr="001D4B2D">
              <w:rPr>
                <w:rFonts w:cs="Times New Roman"/>
                <w:bCs/>
                <w:sz w:val="26"/>
                <w:szCs w:val="26"/>
                <w:lang w:val="vi-VN"/>
              </w:rPr>
              <w:t>Sở Khoa học và Công nghệ</w:t>
            </w:r>
            <w:r w:rsidR="005461D5" w:rsidRPr="001D4B2D">
              <w:rPr>
                <w:rFonts w:cs="Times New Roman"/>
                <w:bCs/>
                <w:sz w:val="26"/>
                <w:szCs w:val="26"/>
                <w:lang w:val="vi-VN"/>
              </w:rPr>
              <w:t xml:space="preserve"> </w:t>
            </w:r>
          </w:p>
        </w:tc>
        <w:tc>
          <w:tcPr>
            <w:tcW w:w="2168" w:type="dxa"/>
          </w:tcPr>
          <w:p w:rsidR="006B19AD" w:rsidRPr="001D4B2D" w:rsidRDefault="00FE00EF" w:rsidP="009F29D5">
            <w:pPr>
              <w:spacing w:after="0" w:line="240" w:lineRule="atLeast"/>
              <w:jc w:val="both"/>
              <w:rPr>
                <w:rFonts w:cs="Times New Roman"/>
                <w:b/>
                <w:color w:val="000000" w:themeColor="text1"/>
                <w:sz w:val="26"/>
                <w:szCs w:val="26"/>
                <w:lang w:val="vi-VN"/>
              </w:rPr>
            </w:pPr>
            <w:r>
              <w:rPr>
                <w:rFonts w:cs="Times New Roman"/>
                <w:iCs/>
                <w:color w:val="000000" w:themeColor="text1"/>
                <w:sz w:val="26"/>
                <w:szCs w:val="26"/>
                <w:lang w:val="nb-NO"/>
              </w:rPr>
              <w:t>TTHC bị bãi bỏ có s</w:t>
            </w:r>
            <w:r w:rsidR="006B19AD" w:rsidRPr="001D4B2D">
              <w:rPr>
                <w:rFonts w:cs="Times New Roman"/>
                <w:iCs/>
                <w:color w:val="000000" w:themeColor="text1"/>
                <w:sz w:val="26"/>
                <w:szCs w:val="26"/>
                <w:lang w:val="nb-NO"/>
              </w:rPr>
              <w:t xml:space="preserve">ố thứ tự </w:t>
            </w:r>
            <w:r w:rsidR="009F29D5" w:rsidRPr="001D4B2D">
              <w:rPr>
                <w:rFonts w:cs="Times New Roman"/>
                <w:iCs/>
                <w:color w:val="000000" w:themeColor="text1"/>
                <w:sz w:val="26"/>
                <w:szCs w:val="26"/>
                <w:lang w:val="vi-VN"/>
              </w:rPr>
              <w:t>29</w:t>
            </w:r>
            <w:r w:rsidR="006B19AD" w:rsidRPr="001D4B2D">
              <w:rPr>
                <w:rFonts w:cs="Times New Roman"/>
                <w:iCs/>
                <w:color w:val="000000" w:themeColor="text1"/>
                <w:sz w:val="26"/>
                <w:szCs w:val="26"/>
                <w:lang w:val="nb-NO"/>
              </w:rPr>
              <w:t xml:space="preserve"> mụ</w:t>
            </w:r>
            <w:r w:rsidR="0043028D" w:rsidRPr="001D4B2D">
              <w:rPr>
                <w:rFonts w:cs="Times New Roman"/>
                <w:iCs/>
                <w:color w:val="000000" w:themeColor="text1"/>
                <w:sz w:val="26"/>
                <w:szCs w:val="26"/>
                <w:lang w:val="nb-NO"/>
              </w:rPr>
              <w:t>c I</w:t>
            </w:r>
            <w:r w:rsidR="009F29D5" w:rsidRPr="001D4B2D">
              <w:rPr>
                <w:rFonts w:cs="Times New Roman"/>
                <w:iCs/>
                <w:color w:val="000000" w:themeColor="text1"/>
                <w:sz w:val="26"/>
                <w:szCs w:val="26"/>
                <w:lang w:val="vi-VN"/>
              </w:rPr>
              <w:t>,</w:t>
            </w:r>
            <w:r w:rsidR="006B19AD" w:rsidRPr="001D4B2D">
              <w:rPr>
                <w:rFonts w:cs="Times New Roman"/>
                <w:iCs/>
                <w:color w:val="000000" w:themeColor="text1"/>
                <w:sz w:val="26"/>
                <w:szCs w:val="26"/>
                <w:lang w:val="nb-NO"/>
              </w:rPr>
              <w:t xml:space="preserve"> lĩnh vực </w:t>
            </w:r>
            <w:r w:rsidR="00A8758C">
              <w:rPr>
                <w:rFonts w:cs="Times New Roman"/>
                <w:iCs/>
                <w:color w:val="000000" w:themeColor="text1"/>
                <w:sz w:val="26"/>
                <w:szCs w:val="26"/>
                <w:lang w:val="nb-NO"/>
              </w:rPr>
              <w:t xml:space="preserve">Hoạt động </w:t>
            </w:r>
            <w:r w:rsidR="009F29D5" w:rsidRPr="001D4B2D">
              <w:rPr>
                <w:rFonts w:cs="Times New Roman"/>
                <w:iCs/>
                <w:color w:val="000000" w:themeColor="text1"/>
                <w:sz w:val="26"/>
                <w:szCs w:val="26"/>
                <w:lang w:val="vi-VN"/>
              </w:rPr>
              <w:t>khoa học và công nghệ</w:t>
            </w:r>
            <w:r w:rsidR="006B19AD" w:rsidRPr="001D4B2D">
              <w:rPr>
                <w:rFonts w:cs="Times New Roman"/>
                <w:iCs/>
                <w:color w:val="000000" w:themeColor="text1"/>
                <w:sz w:val="26"/>
                <w:szCs w:val="26"/>
                <w:lang w:val="nb-NO"/>
              </w:rPr>
              <w:t xml:space="preserve"> tại Quyết định số</w:t>
            </w:r>
            <w:r w:rsidR="004944F1" w:rsidRPr="001D4B2D">
              <w:rPr>
                <w:rFonts w:cs="Times New Roman"/>
                <w:iCs/>
                <w:color w:val="000000" w:themeColor="text1"/>
                <w:sz w:val="26"/>
                <w:szCs w:val="26"/>
                <w:lang w:val="nb-NO"/>
              </w:rPr>
              <w:t xml:space="preserve"> </w:t>
            </w:r>
            <w:r w:rsidR="006B19AD" w:rsidRPr="001D4B2D">
              <w:rPr>
                <w:rFonts w:cs="Times New Roman"/>
                <w:iCs/>
                <w:color w:val="000000" w:themeColor="text1"/>
                <w:sz w:val="26"/>
                <w:szCs w:val="26"/>
                <w:lang w:val="nb-NO"/>
              </w:rPr>
              <w:t>3049/QĐ-UBND ngày 31/12/2020 của Chủ tịch UBND tỉnh Hưng Yên</w:t>
            </w:r>
          </w:p>
        </w:tc>
      </w:tr>
    </w:tbl>
    <w:p w:rsidR="009F29D5" w:rsidRPr="001D4B2D" w:rsidRDefault="009F29D5">
      <w:pPr>
        <w:rPr>
          <w:sz w:val="26"/>
          <w:szCs w:val="26"/>
          <w:lang w:val="vi-VN"/>
        </w:rPr>
      </w:pPr>
      <w:r w:rsidRPr="001D4B2D">
        <w:rPr>
          <w:sz w:val="26"/>
          <w:szCs w:val="26"/>
          <w:lang w:val="vi-VN"/>
        </w:rPr>
        <w:tab/>
      </w:r>
    </w:p>
    <w:p w:rsidR="009F29D5" w:rsidRPr="001D4B2D" w:rsidRDefault="009F29D5" w:rsidP="00A83EF9">
      <w:pPr>
        <w:spacing w:after="240" w:line="240" w:lineRule="atLeast"/>
        <w:ind w:firstLine="720"/>
        <w:jc w:val="both"/>
        <w:rPr>
          <w:rFonts w:cs="Times New Roman"/>
          <w:b/>
          <w:bCs/>
          <w:sz w:val="26"/>
          <w:szCs w:val="26"/>
        </w:rPr>
      </w:pPr>
      <w:r w:rsidRPr="001D4B2D">
        <w:rPr>
          <w:b/>
          <w:spacing w:val="-4"/>
          <w:sz w:val="26"/>
          <w:szCs w:val="26"/>
          <w:lang w:val="vi-VN"/>
        </w:rPr>
        <w:t>II.</w:t>
      </w:r>
      <w:r w:rsidR="00DB16FC" w:rsidRPr="001D4B2D">
        <w:rPr>
          <w:b/>
          <w:spacing w:val="-4"/>
          <w:sz w:val="26"/>
          <w:szCs w:val="26"/>
        </w:rPr>
        <w:t xml:space="preserve"> DANH MỤC</w:t>
      </w:r>
      <w:r w:rsidRPr="001D4B2D">
        <w:rPr>
          <w:b/>
          <w:spacing w:val="-4"/>
          <w:sz w:val="26"/>
          <w:szCs w:val="26"/>
          <w:lang w:val="vi-VN"/>
        </w:rPr>
        <w:t xml:space="preserve"> QUY TRÌNH NỘI BỘ GIẢI QUYẾT THỦ TỤC HÀNH CHÍNH BỊ BÃI BỎ</w:t>
      </w:r>
      <w:r w:rsidR="00A83EF9" w:rsidRPr="001D4B2D">
        <w:rPr>
          <w:b/>
          <w:spacing w:val="-4"/>
          <w:sz w:val="26"/>
          <w:szCs w:val="26"/>
        </w:rPr>
        <w:t xml:space="preserve"> </w:t>
      </w:r>
      <w:r w:rsidR="00A83EF9" w:rsidRPr="001D4B2D">
        <w:rPr>
          <w:rFonts w:cs="Times New Roman"/>
          <w:b/>
          <w:bCs/>
          <w:sz w:val="26"/>
          <w:szCs w:val="26"/>
        </w:rPr>
        <w:t>THUỘC THẨM QUYỀN GIẢI QUYẾT CẤP TỈNH</w:t>
      </w:r>
    </w:p>
    <w:tbl>
      <w:tblPr>
        <w:tblStyle w:val="TableGrid"/>
        <w:tblW w:w="9474" w:type="dxa"/>
        <w:tblLook w:val="04A0" w:firstRow="1" w:lastRow="0" w:firstColumn="1" w:lastColumn="0" w:noHBand="0" w:noVBand="1"/>
      </w:tblPr>
      <w:tblGrid>
        <w:gridCol w:w="534"/>
        <w:gridCol w:w="4536"/>
        <w:gridCol w:w="4404"/>
      </w:tblGrid>
      <w:tr w:rsidR="00DB16FC" w:rsidRPr="00941169" w:rsidTr="008111B2">
        <w:trPr>
          <w:trHeight w:val="605"/>
        </w:trPr>
        <w:tc>
          <w:tcPr>
            <w:tcW w:w="534" w:type="dxa"/>
            <w:vAlign w:val="center"/>
          </w:tcPr>
          <w:p w:rsidR="00DB16FC" w:rsidRPr="001D4B2D" w:rsidRDefault="00DB16FC" w:rsidP="00A83EF9">
            <w:pPr>
              <w:jc w:val="center"/>
              <w:rPr>
                <w:rFonts w:asciiTheme="majorHAnsi" w:hAnsiTheme="majorHAnsi" w:cstheme="majorHAnsi"/>
                <w:b/>
                <w:spacing w:val="-4"/>
                <w:sz w:val="26"/>
                <w:szCs w:val="26"/>
              </w:rPr>
            </w:pPr>
            <w:r w:rsidRPr="001D4B2D">
              <w:rPr>
                <w:rFonts w:asciiTheme="majorHAnsi" w:hAnsiTheme="majorHAnsi" w:cstheme="majorHAnsi"/>
                <w:b/>
                <w:spacing w:val="-4"/>
                <w:sz w:val="26"/>
                <w:szCs w:val="26"/>
              </w:rPr>
              <w:t>Stt</w:t>
            </w:r>
          </w:p>
        </w:tc>
        <w:tc>
          <w:tcPr>
            <w:tcW w:w="4536" w:type="dxa"/>
            <w:vAlign w:val="center"/>
          </w:tcPr>
          <w:p w:rsidR="00DB16FC" w:rsidRPr="001D4B2D" w:rsidRDefault="00DB16FC" w:rsidP="00A83EF9">
            <w:pPr>
              <w:jc w:val="center"/>
              <w:rPr>
                <w:rFonts w:asciiTheme="majorHAnsi" w:hAnsiTheme="majorHAnsi" w:cstheme="majorHAnsi"/>
                <w:b/>
                <w:spacing w:val="-4"/>
                <w:sz w:val="26"/>
                <w:szCs w:val="26"/>
              </w:rPr>
            </w:pPr>
            <w:r w:rsidRPr="001D4B2D">
              <w:rPr>
                <w:rFonts w:asciiTheme="majorHAnsi" w:hAnsiTheme="majorHAnsi" w:cstheme="majorHAnsi"/>
                <w:b/>
                <w:spacing w:val="-4"/>
                <w:sz w:val="26"/>
                <w:szCs w:val="26"/>
              </w:rPr>
              <w:t>Tên QTNB giải quyết TTHC</w:t>
            </w:r>
          </w:p>
        </w:tc>
        <w:tc>
          <w:tcPr>
            <w:tcW w:w="4404" w:type="dxa"/>
            <w:vAlign w:val="center"/>
          </w:tcPr>
          <w:p w:rsidR="00DB16FC" w:rsidRPr="00941169" w:rsidRDefault="00DB16FC" w:rsidP="00A83EF9">
            <w:pPr>
              <w:jc w:val="center"/>
              <w:rPr>
                <w:rFonts w:asciiTheme="majorHAnsi" w:hAnsiTheme="majorHAnsi" w:cstheme="majorHAnsi"/>
                <w:b/>
                <w:spacing w:val="-4"/>
                <w:sz w:val="26"/>
                <w:szCs w:val="26"/>
                <w:highlight w:val="yellow"/>
              </w:rPr>
            </w:pPr>
            <w:r w:rsidRPr="008111B2">
              <w:rPr>
                <w:rFonts w:asciiTheme="majorHAnsi" w:hAnsiTheme="majorHAnsi" w:cstheme="majorHAnsi"/>
                <w:b/>
                <w:spacing w:val="-4"/>
                <w:sz w:val="26"/>
                <w:szCs w:val="26"/>
              </w:rPr>
              <w:t>Ghi chú</w:t>
            </w:r>
          </w:p>
        </w:tc>
      </w:tr>
      <w:tr w:rsidR="00DB16FC" w:rsidRPr="001D4B2D" w:rsidTr="008111B2">
        <w:trPr>
          <w:trHeight w:val="701"/>
        </w:trPr>
        <w:tc>
          <w:tcPr>
            <w:tcW w:w="534" w:type="dxa"/>
          </w:tcPr>
          <w:p w:rsidR="00DB16FC" w:rsidRPr="00FE00EF" w:rsidRDefault="00FE00EF" w:rsidP="00BF377F">
            <w:pPr>
              <w:jc w:val="both"/>
              <w:rPr>
                <w:rFonts w:asciiTheme="majorHAnsi" w:hAnsiTheme="majorHAnsi" w:cstheme="majorHAnsi"/>
                <w:spacing w:val="-4"/>
                <w:sz w:val="26"/>
                <w:szCs w:val="26"/>
              </w:rPr>
            </w:pPr>
            <w:r w:rsidRPr="00FE00EF">
              <w:rPr>
                <w:rFonts w:asciiTheme="majorHAnsi" w:hAnsiTheme="majorHAnsi" w:cstheme="majorHAnsi"/>
                <w:spacing w:val="-4"/>
                <w:sz w:val="26"/>
                <w:szCs w:val="26"/>
              </w:rPr>
              <w:t>1</w:t>
            </w:r>
          </w:p>
        </w:tc>
        <w:tc>
          <w:tcPr>
            <w:tcW w:w="4536" w:type="dxa"/>
          </w:tcPr>
          <w:p w:rsidR="00DB16FC" w:rsidRPr="001D4B2D" w:rsidRDefault="00DB16FC" w:rsidP="00BF377F">
            <w:pPr>
              <w:jc w:val="both"/>
              <w:rPr>
                <w:rFonts w:ascii="Times New Roman" w:hAnsi="Times New Roman" w:cs="Times New Roman"/>
                <w:b/>
                <w:spacing w:val="-4"/>
                <w:sz w:val="26"/>
                <w:szCs w:val="26"/>
              </w:rPr>
            </w:pPr>
            <w:r w:rsidRPr="001D4B2D">
              <w:rPr>
                <w:rFonts w:ascii="Times New Roman" w:hAnsi="Times New Roman" w:cs="Times New Roman"/>
                <w:sz w:val="26"/>
                <w:szCs w:val="26"/>
                <w:lang w:val="vi-VN"/>
              </w:rPr>
              <w:t>Thủ tục xác định nhiệm vụ khoa học và công nghệ cấp quốc gia sử dụng ngân sách nhà nước</w:t>
            </w:r>
          </w:p>
        </w:tc>
        <w:tc>
          <w:tcPr>
            <w:tcW w:w="4404" w:type="dxa"/>
          </w:tcPr>
          <w:p w:rsidR="00DB16FC" w:rsidRPr="008111B2" w:rsidRDefault="00FE00EF" w:rsidP="008111B2">
            <w:pPr>
              <w:jc w:val="both"/>
              <w:rPr>
                <w:rFonts w:ascii="Times New Roman" w:hAnsi="Times New Roman" w:cs="Times New Roman"/>
                <w:b/>
                <w:spacing w:val="-4"/>
                <w:sz w:val="26"/>
                <w:szCs w:val="26"/>
              </w:rPr>
            </w:pPr>
            <w:r>
              <w:rPr>
                <w:rFonts w:ascii="Times New Roman" w:hAnsi="Times New Roman" w:cs="Times New Roman"/>
                <w:color w:val="081C36"/>
                <w:spacing w:val="3"/>
                <w:sz w:val="26"/>
                <w:szCs w:val="26"/>
                <w:shd w:val="clear" w:color="auto" w:fill="FFFFFF"/>
              </w:rPr>
              <w:t xml:space="preserve">QTNB bị bãi bỏ đã được phê duyệt tại </w:t>
            </w:r>
            <w:r w:rsidR="008111B2" w:rsidRPr="008111B2">
              <w:rPr>
                <w:rFonts w:ascii="Times New Roman" w:hAnsi="Times New Roman" w:cs="Times New Roman"/>
                <w:color w:val="081C36"/>
                <w:spacing w:val="3"/>
                <w:sz w:val="26"/>
                <w:szCs w:val="26"/>
                <w:shd w:val="clear" w:color="auto" w:fill="FFFFFF"/>
              </w:rPr>
              <w:t>Quyết định số 2743/QĐ-UBND ngày 30/11/2021 của Chủ tịch UBND tỉnh Hưng Yên Phê duyệt Quy trình nội bộ giải quyết thủ tục hành chính thuộc phạm vi, chức năng quản lý nhà nước của Sở Khoa học và Công nghệ</w:t>
            </w:r>
          </w:p>
          <w:p w:rsidR="00DB16FC" w:rsidRPr="001D4B2D" w:rsidRDefault="00DB16FC" w:rsidP="008111B2">
            <w:pPr>
              <w:jc w:val="both"/>
              <w:rPr>
                <w:rFonts w:asciiTheme="majorHAnsi" w:hAnsiTheme="majorHAnsi" w:cstheme="majorHAnsi"/>
                <w:b/>
                <w:spacing w:val="-4"/>
                <w:sz w:val="26"/>
                <w:szCs w:val="26"/>
              </w:rPr>
            </w:pPr>
          </w:p>
        </w:tc>
      </w:tr>
    </w:tbl>
    <w:p w:rsidR="00DB16FC" w:rsidRPr="001D4B2D" w:rsidRDefault="00DB16FC" w:rsidP="00BF377F">
      <w:pPr>
        <w:ind w:firstLine="720"/>
        <w:jc w:val="both"/>
        <w:rPr>
          <w:b/>
          <w:spacing w:val="-4"/>
          <w:sz w:val="26"/>
          <w:szCs w:val="26"/>
        </w:rPr>
      </w:pPr>
    </w:p>
    <w:sectPr w:rsidR="00DB16FC" w:rsidRPr="001D4B2D" w:rsidSect="00BF377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D1E"/>
    <w:multiLevelType w:val="hybridMultilevel"/>
    <w:tmpl w:val="CEA4E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B19AD"/>
    <w:rsid w:val="00187393"/>
    <w:rsid w:val="001D4B2D"/>
    <w:rsid w:val="0043028D"/>
    <w:rsid w:val="004944F1"/>
    <w:rsid w:val="005461D5"/>
    <w:rsid w:val="00663303"/>
    <w:rsid w:val="006B19AD"/>
    <w:rsid w:val="006D003D"/>
    <w:rsid w:val="006D1198"/>
    <w:rsid w:val="006F11CE"/>
    <w:rsid w:val="006F3C18"/>
    <w:rsid w:val="008111B2"/>
    <w:rsid w:val="008A31AF"/>
    <w:rsid w:val="00925E0B"/>
    <w:rsid w:val="00941169"/>
    <w:rsid w:val="009A36E8"/>
    <w:rsid w:val="009B738A"/>
    <w:rsid w:val="009E3E19"/>
    <w:rsid w:val="009F29D5"/>
    <w:rsid w:val="00A5711C"/>
    <w:rsid w:val="00A83EF9"/>
    <w:rsid w:val="00A8758C"/>
    <w:rsid w:val="00BC1934"/>
    <w:rsid w:val="00BF377F"/>
    <w:rsid w:val="00BF779F"/>
    <w:rsid w:val="00D07D51"/>
    <w:rsid w:val="00D56226"/>
    <w:rsid w:val="00DB16FC"/>
    <w:rsid w:val="00DD4908"/>
    <w:rsid w:val="00E75A3A"/>
    <w:rsid w:val="00ED1E6B"/>
    <w:rsid w:val="00FE00E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9AD"/>
    <w:pPr>
      <w:spacing w:after="160" w:line="259" w:lineRule="auto"/>
      <w:ind w:left="720"/>
      <w:contextualSpacing/>
    </w:pPr>
    <w:rPr>
      <w:rFonts w:asciiTheme="minorHAnsi" w:hAnsiTheme="minorHAnsi"/>
      <w:sz w:val="22"/>
    </w:rPr>
  </w:style>
  <w:style w:type="table" w:styleId="TableGrid">
    <w:name w:val="Table Grid"/>
    <w:basedOn w:val="TableNormal"/>
    <w:uiPriority w:val="39"/>
    <w:rsid w:val="006B19A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B19AD"/>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6B19AD"/>
    <w:rPr>
      <w:rFonts w:eastAsia="Times New Roman" w:cs="Times New Roman"/>
      <w:szCs w:val="28"/>
    </w:rPr>
  </w:style>
  <w:style w:type="character" w:styleId="Hyperlink">
    <w:name w:val="Hyperlink"/>
    <w:uiPriority w:val="99"/>
    <w:rsid w:val="006B19AD"/>
    <w:rPr>
      <w:color w:val="0000FF"/>
      <w:u w:val="single"/>
    </w:rPr>
  </w:style>
  <w:style w:type="paragraph" w:styleId="BalloonText">
    <w:name w:val="Balloon Text"/>
    <w:basedOn w:val="Normal"/>
    <w:link w:val="BalloonTextChar"/>
    <w:uiPriority w:val="99"/>
    <w:semiHidden/>
    <w:unhideWhenUsed/>
    <w:rsid w:val="00BF7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79F"/>
    <w:rPr>
      <w:rFonts w:ascii="Segoe UI" w:hAnsi="Segoe UI" w:cs="Segoe UI"/>
      <w:sz w:val="18"/>
      <w:szCs w:val="18"/>
    </w:rPr>
  </w:style>
  <w:style w:type="paragraph" w:styleId="NormalWeb">
    <w:name w:val="Normal (Web)"/>
    <w:basedOn w:val="Normal"/>
    <w:link w:val="NormalWebChar"/>
    <w:uiPriority w:val="99"/>
    <w:rsid w:val="00BF377F"/>
    <w:pPr>
      <w:spacing w:before="100" w:beforeAutospacing="1" w:after="100" w:afterAutospacing="1" w:line="240" w:lineRule="auto"/>
    </w:pPr>
    <w:rPr>
      <w:rFonts w:ascii="Verdana" w:eastAsia="Times New Roman" w:hAnsi="Verdana" w:cs="Times New Roman"/>
      <w:sz w:val="24"/>
      <w:szCs w:val="24"/>
    </w:rPr>
  </w:style>
  <w:style w:type="character" w:customStyle="1" w:styleId="fontstyle21">
    <w:name w:val="fontstyle21"/>
    <w:rsid w:val="00BF377F"/>
    <w:rPr>
      <w:rFonts w:ascii="TimesNewRomanPSMT" w:hAnsi="TimesNewRomanPSMT" w:hint="default"/>
      <w:b w:val="0"/>
      <w:bCs w:val="0"/>
      <w:i w:val="0"/>
      <w:iCs w:val="0"/>
      <w:color w:val="000000"/>
      <w:sz w:val="28"/>
      <w:szCs w:val="28"/>
    </w:rPr>
  </w:style>
  <w:style w:type="character" w:customStyle="1" w:styleId="fontstyle01">
    <w:name w:val="fontstyle01"/>
    <w:rsid w:val="00BF377F"/>
    <w:rPr>
      <w:rFonts w:ascii="TimesNewRomanPS-BoldMT" w:hAnsi="TimesNewRomanPS-BoldMT" w:hint="default"/>
      <w:b/>
      <w:bCs/>
      <w:i w:val="0"/>
      <w:iCs w:val="0"/>
      <w:color w:val="000000"/>
      <w:sz w:val="28"/>
      <w:szCs w:val="28"/>
    </w:rPr>
  </w:style>
  <w:style w:type="character" w:customStyle="1" w:styleId="NormalWebChar">
    <w:name w:val="Normal (Web) Char"/>
    <w:link w:val="NormalWeb"/>
    <w:uiPriority w:val="99"/>
    <w:rsid w:val="00BF377F"/>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CMS</cp:lastModifiedBy>
  <cp:revision>20</cp:revision>
  <cp:lastPrinted>2022-02-17T07:24:00Z</cp:lastPrinted>
  <dcterms:created xsi:type="dcterms:W3CDTF">2022-02-14T04:06:00Z</dcterms:created>
  <dcterms:modified xsi:type="dcterms:W3CDTF">2023-08-21T02:06:00Z</dcterms:modified>
</cp:coreProperties>
</file>