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E5" w:rsidRDefault="00F915E5" w:rsidP="00A64293">
      <w:pPr>
        <w:jc w:val="center"/>
        <w:rPr>
          <w:rFonts w:eastAsia="Arial"/>
          <w:b/>
          <w:bCs/>
          <w:sz w:val="26"/>
          <w:szCs w:val="26"/>
        </w:rPr>
      </w:pPr>
      <w:r w:rsidRPr="005E1D85">
        <w:rPr>
          <w:rFonts w:eastAsia="Arial"/>
          <w:b/>
          <w:sz w:val="26"/>
          <w:szCs w:val="26"/>
        </w:rPr>
        <w:t>DANH MỤC THỦ TỤC HÀNH CHÍNH SỬA ĐỔI, BỔ SUNG</w:t>
      </w:r>
      <w:r w:rsidR="00A64293">
        <w:rPr>
          <w:rFonts w:eastAsia="Arial"/>
          <w:b/>
          <w:sz w:val="26"/>
          <w:szCs w:val="26"/>
        </w:rPr>
        <w:t xml:space="preserve"> TRONG LĨNH VỰC BẢO TRỢ XÃ HỘI</w:t>
      </w:r>
      <w:r w:rsidRPr="005E1D85">
        <w:rPr>
          <w:rFonts w:eastAsia="Arial"/>
          <w:b/>
          <w:bCs/>
          <w:sz w:val="26"/>
          <w:szCs w:val="26"/>
        </w:rPr>
        <w:t xml:space="preserve"> </w:t>
      </w:r>
    </w:p>
    <w:p w:rsidR="00F915E5" w:rsidRPr="005E1D85" w:rsidRDefault="00F915E5" w:rsidP="00A64293">
      <w:pPr>
        <w:jc w:val="center"/>
        <w:rPr>
          <w:rFonts w:eastAsia="Arial"/>
          <w:b/>
          <w:sz w:val="26"/>
          <w:szCs w:val="26"/>
          <w:lang w:val="vi-VN"/>
        </w:rPr>
      </w:pPr>
      <w:r w:rsidRPr="005E1D85">
        <w:rPr>
          <w:rFonts w:eastAsia="Arial"/>
          <w:b/>
          <w:bCs/>
          <w:sz w:val="26"/>
          <w:szCs w:val="26"/>
        </w:rPr>
        <w:t xml:space="preserve">THUỘC PHẠM VI </w:t>
      </w:r>
      <w:r w:rsidRPr="005E1D85">
        <w:rPr>
          <w:rFonts w:eastAsia="Arial"/>
          <w:b/>
          <w:bCs/>
          <w:sz w:val="26"/>
          <w:szCs w:val="26"/>
          <w:lang w:val="vi-VN"/>
        </w:rPr>
        <w:t xml:space="preserve">CHỨC NĂNG QUẢN LÝ </w:t>
      </w:r>
      <w:r w:rsidRPr="005E1D85">
        <w:rPr>
          <w:rFonts w:eastAsia="Arial"/>
          <w:b/>
          <w:bCs/>
          <w:sz w:val="26"/>
          <w:szCs w:val="26"/>
          <w:lang w:val="en-GB"/>
        </w:rPr>
        <w:t xml:space="preserve">NHÀ NƯỚC </w:t>
      </w:r>
      <w:r w:rsidRPr="005E1D85">
        <w:rPr>
          <w:rFonts w:eastAsia="Arial"/>
          <w:b/>
          <w:bCs/>
          <w:sz w:val="26"/>
          <w:szCs w:val="26"/>
          <w:lang w:val="vi-VN"/>
        </w:rPr>
        <w:t>CỦA</w:t>
      </w:r>
      <w:r w:rsidRPr="005E1D85">
        <w:rPr>
          <w:rFonts w:eastAsia="Arial"/>
          <w:b/>
          <w:sz w:val="26"/>
          <w:szCs w:val="26"/>
        </w:rPr>
        <w:t xml:space="preserve"> </w:t>
      </w:r>
      <w:r>
        <w:rPr>
          <w:rFonts w:eastAsia="Arial"/>
          <w:b/>
          <w:sz w:val="26"/>
          <w:szCs w:val="26"/>
          <w:lang w:val="vi-VN"/>
        </w:rPr>
        <w:t xml:space="preserve">SỞ LAO ĐỘNG </w:t>
      </w:r>
      <w:r w:rsidRPr="0006723E">
        <w:rPr>
          <w:rFonts w:eastAsia="Arial"/>
          <w:b/>
          <w:sz w:val="26"/>
          <w:szCs w:val="26"/>
        </w:rPr>
        <w:t>-</w:t>
      </w:r>
      <w:r>
        <w:rPr>
          <w:rFonts w:eastAsia="Arial"/>
          <w:b/>
          <w:sz w:val="26"/>
          <w:szCs w:val="26"/>
          <w:lang w:val="vi-VN"/>
        </w:rPr>
        <w:t xml:space="preserve"> THƯƠNG BINH VÀ XÃ HỘI</w:t>
      </w:r>
    </w:p>
    <w:p w:rsidR="00F915E5" w:rsidRDefault="00F915E5" w:rsidP="00F915E5">
      <w:pPr>
        <w:spacing w:line="340" w:lineRule="exact"/>
        <w:jc w:val="center"/>
        <w:rPr>
          <w:rFonts w:eastAsia="Arial"/>
          <w:i/>
          <w:sz w:val="26"/>
          <w:szCs w:val="26"/>
        </w:rPr>
      </w:pPr>
      <w:r w:rsidRPr="005E1D85">
        <w:rPr>
          <w:rFonts w:eastAsia="Arial"/>
          <w:i/>
          <w:sz w:val="26"/>
          <w:szCs w:val="26"/>
        </w:rPr>
        <w:t>(Ban hành kèm theo Quyết định số</w:t>
      </w:r>
      <w:r w:rsidR="006574D9">
        <w:rPr>
          <w:rFonts w:eastAsia="Arial"/>
          <w:i/>
          <w:sz w:val="26"/>
          <w:szCs w:val="26"/>
          <w:lang w:val="vi-VN"/>
        </w:rPr>
        <w:t xml:space="preserve">  </w:t>
      </w:r>
      <w:r w:rsidR="006574D9">
        <w:rPr>
          <w:rFonts w:eastAsia="Arial"/>
          <w:i/>
          <w:sz w:val="26"/>
          <w:szCs w:val="26"/>
        </w:rPr>
        <w:t>937</w:t>
      </w:r>
      <w:r w:rsidRPr="005E1D85">
        <w:rPr>
          <w:rFonts w:eastAsia="Arial"/>
          <w:i/>
          <w:sz w:val="26"/>
          <w:szCs w:val="26"/>
        </w:rPr>
        <w:t>/QĐ-UBND ngày</w:t>
      </w:r>
      <w:r w:rsidR="006574D9">
        <w:rPr>
          <w:rFonts w:eastAsia="Arial"/>
          <w:i/>
          <w:sz w:val="26"/>
          <w:szCs w:val="26"/>
          <w:lang w:val="vi-VN"/>
        </w:rPr>
        <w:t xml:space="preserve"> </w:t>
      </w:r>
      <w:r w:rsidR="006574D9">
        <w:rPr>
          <w:rFonts w:eastAsia="Arial"/>
          <w:i/>
          <w:sz w:val="26"/>
          <w:szCs w:val="26"/>
        </w:rPr>
        <w:t>25</w:t>
      </w:r>
      <w:r w:rsidRPr="005E1D85">
        <w:rPr>
          <w:rFonts w:eastAsia="Arial"/>
          <w:i/>
          <w:sz w:val="26"/>
          <w:szCs w:val="26"/>
        </w:rPr>
        <w:t>/</w:t>
      </w:r>
      <w:r>
        <w:rPr>
          <w:rFonts w:eastAsia="Arial"/>
          <w:i/>
          <w:sz w:val="26"/>
          <w:szCs w:val="26"/>
        </w:rPr>
        <w:t>4</w:t>
      </w:r>
      <w:r w:rsidRPr="005E1D85">
        <w:rPr>
          <w:rFonts w:eastAsia="Arial"/>
          <w:i/>
          <w:sz w:val="26"/>
          <w:szCs w:val="26"/>
          <w:lang w:val="vi-VN"/>
        </w:rPr>
        <w:t>/</w:t>
      </w:r>
      <w:r>
        <w:rPr>
          <w:rFonts w:eastAsia="Arial"/>
          <w:i/>
          <w:sz w:val="26"/>
          <w:szCs w:val="26"/>
        </w:rPr>
        <w:t>2023</w:t>
      </w:r>
      <w:r w:rsidRPr="005E1D85">
        <w:rPr>
          <w:rFonts w:eastAsia="Arial"/>
          <w:i/>
          <w:sz w:val="26"/>
          <w:szCs w:val="26"/>
        </w:rPr>
        <w:t xml:space="preserve"> của Chủ tịch UBND tỉnh Hưng Yên)</w:t>
      </w:r>
    </w:p>
    <w:p w:rsidR="00F915E5" w:rsidRPr="000F200E" w:rsidRDefault="000F200E" w:rsidP="000F200E">
      <w:pPr>
        <w:spacing w:line="340" w:lineRule="exact"/>
        <w:jc w:val="center"/>
        <w:rPr>
          <w:rFonts w:eastAsia="Arial"/>
          <w:i/>
          <w:sz w:val="26"/>
          <w:szCs w:val="26"/>
        </w:rPr>
      </w:pPr>
      <w:r>
        <w:rPr>
          <w:rFonts w:eastAsia="Arial"/>
          <w:i/>
          <w:noProof/>
          <w:sz w:val="26"/>
          <w:szCs w:val="26"/>
        </w:rPr>
        <mc:AlternateContent>
          <mc:Choice Requires="wps">
            <w:drawing>
              <wp:anchor distT="0" distB="0" distL="114300" distR="114300" simplePos="0" relativeHeight="251659264" behindDoc="0" locked="0" layoutInCell="1" allowOverlap="1" wp14:anchorId="6A570CAF" wp14:editId="288E7A81">
                <wp:simplePos x="0" y="0"/>
                <wp:positionH relativeFrom="column">
                  <wp:posOffset>3709035</wp:posOffset>
                </wp:positionH>
                <wp:positionV relativeFrom="paragraph">
                  <wp:posOffset>35560</wp:posOffset>
                </wp:positionV>
                <wp:extent cx="1638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05pt,2.8pt" to="421.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" strokecolor="black [3040]"/>
            </w:pict>
          </mc:Fallback>
        </mc:AlternateContent>
      </w:r>
    </w:p>
    <w:p w:rsidR="00F915E5" w:rsidRDefault="00F915E5" w:rsidP="000F200E">
      <w:pPr>
        <w:spacing w:before="120" w:after="240"/>
        <w:ind w:firstLine="720"/>
        <w:rPr>
          <w:rFonts w:eastAsia="Arial"/>
          <w:b/>
          <w:sz w:val="26"/>
          <w:szCs w:val="26"/>
        </w:rPr>
      </w:pPr>
      <w:r w:rsidRPr="0026686A">
        <w:rPr>
          <w:rFonts w:eastAsia="Arial"/>
          <w:b/>
          <w:sz w:val="26"/>
          <w:szCs w:val="26"/>
        </w:rPr>
        <w:t>I.</w:t>
      </w:r>
      <w:r w:rsidRPr="005E1D85">
        <w:rPr>
          <w:rFonts w:eastAsia="Arial"/>
          <w:b/>
          <w:sz w:val="26"/>
          <w:szCs w:val="26"/>
        </w:rPr>
        <w:t xml:space="preserve"> THỦ TỤC HÀNH CHÍNH THUỘC THẨM QUYỀN GIẢI QUYẾT CẤP </w:t>
      </w:r>
      <w:r>
        <w:rPr>
          <w:rFonts w:eastAsia="Arial"/>
          <w:b/>
          <w:sz w:val="26"/>
          <w:szCs w:val="26"/>
        </w:rPr>
        <w:t>HUY</w:t>
      </w:r>
      <w:bookmarkStart w:id="0" w:name="_GoBack"/>
      <w:bookmarkEnd w:id="0"/>
      <w:r>
        <w:rPr>
          <w:rFonts w:eastAsia="Arial"/>
          <w:b/>
          <w:sz w:val="26"/>
          <w:szCs w:val="26"/>
        </w:rPr>
        <w:t>ỆN</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844"/>
        <w:gridCol w:w="1585"/>
        <w:gridCol w:w="1392"/>
        <w:gridCol w:w="3119"/>
        <w:gridCol w:w="1559"/>
        <w:gridCol w:w="992"/>
        <w:gridCol w:w="862"/>
        <w:gridCol w:w="839"/>
        <w:gridCol w:w="2977"/>
      </w:tblGrid>
      <w:tr w:rsidR="00F915E5" w:rsidRPr="00233C70" w:rsidTr="00DE26DA">
        <w:tc>
          <w:tcPr>
            <w:tcW w:w="566" w:type="dxa"/>
            <w:vMerge w:val="restart"/>
            <w:vAlign w:val="center"/>
          </w:tcPr>
          <w:p w:rsidR="00F915E5" w:rsidRPr="00233C70" w:rsidRDefault="00F915E5" w:rsidP="004162F3">
            <w:pPr>
              <w:jc w:val="center"/>
              <w:rPr>
                <w:rFonts w:eastAsia="Arial"/>
                <w:b/>
                <w:sz w:val="26"/>
                <w:szCs w:val="26"/>
              </w:rPr>
            </w:pPr>
            <w:r>
              <w:rPr>
                <w:rFonts w:eastAsia="Arial"/>
                <w:b/>
                <w:sz w:val="26"/>
                <w:szCs w:val="26"/>
              </w:rPr>
              <w:t>Stt</w:t>
            </w:r>
          </w:p>
        </w:tc>
        <w:tc>
          <w:tcPr>
            <w:tcW w:w="1844"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Tên TTHC</w:t>
            </w:r>
          </w:p>
        </w:tc>
        <w:tc>
          <w:tcPr>
            <w:tcW w:w="1585"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Thời hạn giải quyết</w:t>
            </w:r>
          </w:p>
        </w:tc>
        <w:tc>
          <w:tcPr>
            <w:tcW w:w="1392"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Địa điểm tiếp nhận</w:t>
            </w:r>
          </w:p>
        </w:tc>
        <w:tc>
          <w:tcPr>
            <w:tcW w:w="3119"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Tên VBQPPL quy định việc sửa đổi, bổ sung TTHC</w:t>
            </w:r>
          </w:p>
        </w:tc>
        <w:tc>
          <w:tcPr>
            <w:tcW w:w="1559"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Nộ</w:t>
            </w:r>
            <w:r>
              <w:rPr>
                <w:rFonts w:eastAsia="Arial"/>
                <w:b/>
                <w:sz w:val="26"/>
                <w:szCs w:val="26"/>
              </w:rPr>
              <w:t>i dung sửa đổi, bổ sung</w:t>
            </w:r>
            <w:r w:rsidRPr="00233C70">
              <w:rPr>
                <w:rFonts w:eastAsia="Arial"/>
                <w:b/>
                <w:sz w:val="26"/>
                <w:szCs w:val="26"/>
              </w:rPr>
              <w:t xml:space="preserve"> TTHC</w:t>
            </w:r>
          </w:p>
        </w:tc>
        <w:tc>
          <w:tcPr>
            <w:tcW w:w="992"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Phí, lệ phí</w:t>
            </w:r>
          </w:p>
        </w:tc>
        <w:tc>
          <w:tcPr>
            <w:tcW w:w="1701" w:type="dxa"/>
            <w:gridSpan w:val="2"/>
            <w:vAlign w:val="center"/>
          </w:tcPr>
          <w:p w:rsidR="00F915E5" w:rsidRPr="00B757FC" w:rsidRDefault="00F915E5" w:rsidP="004162F3">
            <w:pPr>
              <w:spacing w:before="20" w:after="20"/>
              <w:jc w:val="center"/>
              <w:rPr>
                <w:rFonts w:eastAsia="Arial"/>
                <w:b/>
                <w:sz w:val="26"/>
                <w:szCs w:val="26"/>
              </w:rPr>
            </w:pPr>
            <w:r w:rsidRPr="00B757FC">
              <w:rPr>
                <w:b/>
                <w:sz w:val="28"/>
                <w:szCs w:val="28"/>
              </w:rPr>
              <w:t>Dịch vụ công trực tuyến</w:t>
            </w:r>
          </w:p>
        </w:tc>
        <w:tc>
          <w:tcPr>
            <w:tcW w:w="2977" w:type="dxa"/>
            <w:vMerge w:val="restart"/>
            <w:vAlign w:val="center"/>
          </w:tcPr>
          <w:p w:rsidR="00F915E5" w:rsidRPr="00233C70" w:rsidRDefault="00F915E5" w:rsidP="004162F3">
            <w:pPr>
              <w:jc w:val="center"/>
              <w:rPr>
                <w:rFonts w:eastAsia="Arial"/>
                <w:b/>
                <w:sz w:val="26"/>
                <w:szCs w:val="26"/>
              </w:rPr>
            </w:pPr>
            <w:r w:rsidRPr="00233C70">
              <w:rPr>
                <w:rFonts w:eastAsia="Arial"/>
                <w:b/>
                <w:sz w:val="26"/>
                <w:szCs w:val="26"/>
              </w:rPr>
              <w:t>Ghi chú</w:t>
            </w:r>
          </w:p>
        </w:tc>
      </w:tr>
      <w:tr w:rsidR="00F915E5" w:rsidRPr="00233C70" w:rsidTr="00DE26DA">
        <w:tc>
          <w:tcPr>
            <w:tcW w:w="566" w:type="dxa"/>
            <w:vMerge/>
          </w:tcPr>
          <w:p w:rsidR="00F915E5" w:rsidRPr="00233C70" w:rsidRDefault="00F915E5" w:rsidP="004162F3">
            <w:pPr>
              <w:spacing w:before="120" w:after="120"/>
              <w:rPr>
                <w:rFonts w:eastAsia="Arial"/>
                <w:b/>
                <w:sz w:val="26"/>
                <w:szCs w:val="26"/>
              </w:rPr>
            </w:pPr>
          </w:p>
        </w:tc>
        <w:tc>
          <w:tcPr>
            <w:tcW w:w="1844" w:type="dxa"/>
            <w:vMerge/>
          </w:tcPr>
          <w:p w:rsidR="00F915E5" w:rsidRPr="00233C70" w:rsidRDefault="00F915E5" w:rsidP="004162F3">
            <w:pPr>
              <w:spacing w:before="120" w:after="120"/>
              <w:rPr>
                <w:rFonts w:eastAsia="Arial"/>
                <w:b/>
                <w:sz w:val="26"/>
                <w:szCs w:val="26"/>
              </w:rPr>
            </w:pPr>
          </w:p>
        </w:tc>
        <w:tc>
          <w:tcPr>
            <w:tcW w:w="1585" w:type="dxa"/>
            <w:vMerge/>
          </w:tcPr>
          <w:p w:rsidR="00F915E5" w:rsidRPr="00233C70" w:rsidRDefault="00F915E5" w:rsidP="004162F3">
            <w:pPr>
              <w:spacing w:before="120" w:after="120"/>
              <w:rPr>
                <w:rFonts w:eastAsia="Arial"/>
                <w:b/>
                <w:sz w:val="26"/>
                <w:szCs w:val="26"/>
              </w:rPr>
            </w:pPr>
          </w:p>
        </w:tc>
        <w:tc>
          <w:tcPr>
            <w:tcW w:w="1392" w:type="dxa"/>
            <w:vMerge/>
          </w:tcPr>
          <w:p w:rsidR="00F915E5" w:rsidRPr="00233C70" w:rsidRDefault="00F915E5" w:rsidP="004162F3">
            <w:pPr>
              <w:spacing w:before="120" w:after="120"/>
              <w:rPr>
                <w:rFonts w:eastAsia="Arial"/>
                <w:b/>
                <w:sz w:val="26"/>
                <w:szCs w:val="26"/>
              </w:rPr>
            </w:pPr>
          </w:p>
        </w:tc>
        <w:tc>
          <w:tcPr>
            <w:tcW w:w="3119" w:type="dxa"/>
            <w:vMerge/>
          </w:tcPr>
          <w:p w:rsidR="00F915E5" w:rsidRPr="00233C70" w:rsidRDefault="00F915E5" w:rsidP="004162F3">
            <w:pPr>
              <w:spacing w:before="120" w:after="120"/>
              <w:rPr>
                <w:rFonts w:eastAsia="Arial"/>
                <w:b/>
                <w:sz w:val="26"/>
                <w:szCs w:val="26"/>
              </w:rPr>
            </w:pPr>
          </w:p>
        </w:tc>
        <w:tc>
          <w:tcPr>
            <w:tcW w:w="1559" w:type="dxa"/>
            <w:vMerge/>
          </w:tcPr>
          <w:p w:rsidR="00F915E5" w:rsidRPr="00233C70" w:rsidRDefault="00F915E5" w:rsidP="004162F3">
            <w:pPr>
              <w:spacing w:before="120" w:after="120"/>
              <w:rPr>
                <w:rFonts w:eastAsia="Arial"/>
                <w:b/>
                <w:sz w:val="26"/>
                <w:szCs w:val="26"/>
              </w:rPr>
            </w:pPr>
          </w:p>
        </w:tc>
        <w:tc>
          <w:tcPr>
            <w:tcW w:w="992" w:type="dxa"/>
            <w:vMerge/>
          </w:tcPr>
          <w:p w:rsidR="00F915E5" w:rsidRPr="00233C70" w:rsidRDefault="00F915E5" w:rsidP="004162F3">
            <w:pPr>
              <w:spacing w:before="120" w:after="120"/>
              <w:rPr>
                <w:rFonts w:eastAsia="Arial"/>
                <w:b/>
                <w:sz w:val="26"/>
                <w:szCs w:val="26"/>
              </w:rPr>
            </w:pPr>
          </w:p>
        </w:tc>
        <w:tc>
          <w:tcPr>
            <w:tcW w:w="862" w:type="dxa"/>
          </w:tcPr>
          <w:p w:rsidR="00F915E5" w:rsidRPr="00B757FC" w:rsidRDefault="00F915E5" w:rsidP="004162F3">
            <w:pPr>
              <w:spacing w:before="20" w:after="20"/>
              <w:rPr>
                <w:rFonts w:eastAsia="Arial"/>
                <w:b/>
                <w:sz w:val="26"/>
                <w:szCs w:val="26"/>
              </w:rPr>
            </w:pPr>
            <w:r w:rsidRPr="00B757FC">
              <w:rPr>
                <w:rFonts w:eastAsia="Arial"/>
                <w:b/>
                <w:sz w:val="26"/>
                <w:szCs w:val="26"/>
              </w:rPr>
              <w:t>Một phần</w:t>
            </w:r>
          </w:p>
        </w:tc>
        <w:tc>
          <w:tcPr>
            <w:tcW w:w="839" w:type="dxa"/>
          </w:tcPr>
          <w:p w:rsidR="00F915E5" w:rsidRPr="00B757FC" w:rsidRDefault="00F915E5" w:rsidP="004162F3">
            <w:pPr>
              <w:spacing w:before="20" w:after="20"/>
              <w:rPr>
                <w:rFonts w:eastAsia="Arial"/>
                <w:b/>
                <w:sz w:val="26"/>
                <w:szCs w:val="26"/>
              </w:rPr>
            </w:pPr>
            <w:r w:rsidRPr="00B757FC">
              <w:rPr>
                <w:rFonts w:eastAsia="Arial"/>
                <w:b/>
                <w:sz w:val="26"/>
                <w:szCs w:val="26"/>
              </w:rPr>
              <w:t>Toàn trình</w:t>
            </w:r>
          </w:p>
        </w:tc>
        <w:tc>
          <w:tcPr>
            <w:tcW w:w="2977" w:type="dxa"/>
            <w:vMerge/>
          </w:tcPr>
          <w:p w:rsidR="00F915E5" w:rsidRPr="00233C70" w:rsidRDefault="00F915E5" w:rsidP="004162F3">
            <w:pPr>
              <w:spacing w:before="120" w:after="120"/>
              <w:rPr>
                <w:rFonts w:eastAsia="Arial"/>
                <w:b/>
                <w:sz w:val="26"/>
                <w:szCs w:val="26"/>
              </w:rPr>
            </w:pPr>
          </w:p>
        </w:tc>
      </w:tr>
      <w:tr w:rsidR="00F915E5" w:rsidRPr="00233C70" w:rsidTr="00DE26DA">
        <w:tc>
          <w:tcPr>
            <w:tcW w:w="566" w:type="dxa"/>
          </w:tcPr>
          <w:p w:rsidR="00F915E5" w:rsidRPr="00233C70" w:rsidRDefault="00F915E5" w:rsidP="00A64293">
            <w:pPr>
              <w:jc w:val="both"/>
              <w:rPr>
                <w:rFonts w:eastAsia="Arial"/>
                <w:sz w:val="26"/>
                <w:szCs w:val="26"/>
              </w:rPr>
            </w:pPr>
            <w:r w:rsidRPr="00233C70">
              <w:rPr>
                <w:rFonts w:eastAsia="Arial"/>
                <w:sz w:val="26"/>
                <w:szCs w:val="26"/>
              </w:rPr>
              <w:t>1</w:t>
            </w:r>
            <w:r w:rsidR="00CB3F37">
              <w:rPr>
                <w:rFonts w:eastAsia="Arial"/>
                <w:sz w:val="26"/>
                <w:szCs w:val="26"/>
              </w:rPr>
              <w:t>.</w:t>
            </w:r>
          </w:p>
        </w:tc>
        <w:tc>
          <w:tcPr>
            <w:tcW w:w="1844" w:type="dxa"/>
          </w:tcPr>
          <w:p w:rsidR="00F915E5" w:rsidRPr="00233C70" w:rsidRDefault="00F915E5" w:rsidP="00A64293">
            <w:pPr>
              <w:spacing w:before="20" w:after="20"/>
              <w:jc w:val="both"/>
              <w:rPr>
                <w:spacing w:val="-2"/>
                <w:sz w:val="26"/>
                <w:szCs w:val="26"/>
                <w:lang w:val="pt-BR"/>
              </w:rPr>
            </w:pPr>
            <w:r w:rsidRPr="00233C70">
              <w:rPr>
                <w:spacing w:val="-2"/>
                <w:sz w:val="26"/>
                <w:szCs w:val="26"/>
                <w:lang w:val="pt-BR"/>
              </w:rPr>
              <w:t>Thực hiện, điều chỉnh, thôi hưởng trợ cấp xã hội hàng tháng, hỗ trợ kinh phí chăm sóc, nuôi dưỡng hàng tháng</w:t>
            </w:r>
          </w:p>
        </w:tc>
        <w:tc>
          <w:tcPr>
            <w:tcW w:w="1585" w:type="dxa"/>
          </w:tcPr>
          <w:p w:rsidR="00F915E5" w:rsidRPr="00233C70" w:rsidRDefault="00F915E5" w:rsidP="00A64293">
            <w:pPr>
              <w:spacing w:before="20" w:after="20"/>
              <w:jc w:val="both"/>
              <w:rPr>
                <w:rFonts w:eastAsia="Arial"/>
                <w:sz w:val="26"/>
                <w:szCs w:val="26"/>
              </w:rPr>
            </w:pPr>
            <w:r w:rsidRPr="00233C70">
              <w:rPr>
                <w:sz w:val="26"/>
                <w:szCs w:val="26"/>
                <w:lang w:val="pt-BR"/>
              </w:rPr>
              <w:t xml:space="preserve">22 ngày làm việc </w:t>
            </w:r>
            <w:r w:rsidRPr="00233C70">
              <w:rPr>
                <w:rStyle w:val="Khc"/>
                <w:spacing w:val="-4"/>
                <w:lang w:val="pt-BR" w:eastAsia="vi-VN"/>
              </w:rPr>
              <w:t>kể từ ngày nhận được hồ sơ đáp ứng các quy định của pháp luật</w:t>
            </w:r>
          </w:p>
        </w:tc>
        <w:tc>
          <w:tcPr>
            <w:tcW w:w="1392" w:type="dxa"/>
          </w:tcPr>
          <w:p w:rsidR="00F915E5" w:rsidRPr="00233C70" w:rsidRDefault="00F915E5" w:rsidP="00A64293">
            <w:pPr>
              <w:spacing w:before="20" w:after="20"/>
              <w:jc w:val="both"/>
              <w:rPr>
                <w:rFonts w:eastAsia="Arial"/>
                <w:sz w:val="26"/>
                <w:szCs w:val="26"/>
              </w:rPr>
            </w:pPr>
            <w:r w:rsidRPr="00233C70">
              <w:rPr>
                <w:rFonts w:eastAsia="Arial"/>
                <w:sz w:val="26"/>
                <w:szCs w:val="26"/>
              </w:rPr>
              <w:t>Bộ phận tiếp nhận và trả kết quả, UBND cấp xã</w:t>
            </w:r>
          </w:p>
        </w:tc>
        <w:tc>
          <w:tcPr>
            <w:tcW w:w="3119" w:type="dxa"/>
          </w:tcPr>
          <w:p w:rsidR="00F915E5" w:rsidRPr="00233C70" w:rsidRDefault="00F915E5" w:rsidP="00A64293">
            <w:pPr>
              <w:spacing w:before="20" w:after="20"/>
              <w:jc w:val="both"/>
              <w:rPr>
                <w:rFonts w:eastAsia="Arial"/>
                <w:sz w:val="26"/>
                <w:szCs w:val="26"/>
              </w:rPr>
            </w:pPr>
            <w:r w:rsidRPr="00233C70">
              <w:rPr>
                <w:spacing w:val="-2"/>
                <w:sz w:val="26"/>
                <w:szCs w:val="26"/>
                <w:lang w:val="pt-BR"/>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r w:rsidR="001845A2">
              <w:rPr>
                <w:spacing w:val="-2"/>
                <w:sz w:val="26"/>
                <w:szCs w:val="26"/>
                <w:lang w:val="pt-BR"/>
              </w:rPr>
              <w:t>.</w:t>
            </w:r>
          </w:p>
        </w:tc>
        <w:tc>
          <w:tcPr>
            <w:tcW w:w="1559" w:type="dxa"/>
          </w:tcPr>
          <w:p w:rsidR="00F915E5" w:rsidRPr="00233C70" w:rsidRDefault="00F915E5" w:rsidP="00A64293">
            <w:pPr>
              <w:spacing w:before="20" w:after="20"/>
              <w:jc w:val="both"/>
              <w:rPr>
                <w:rFonts w:eastAsia="Arial"/>
                <w:sz w:val="26"/>
                <w:szCs w:val="26"/>
              </w:rPr>
            </w:pPr>
            <w:r w:rsidRPr="00233C70">
              <w:rPr>
                <w:rFonts w:eastAsia="Arial"/>
                <w:sz w:val="26"/>
                <w:szCs w:val="26"/>
              </w:rPr>
              <w:t>TTHC được sửa đổi, bổ sung, đơn giả</w:t>
            </w:r>
            <w:r w:rsidR="005861E6">
              <w:rPr>
                <w:rFonts w:eastAsia="Arial"/>
                <w:sz w:val="26"/>
                <w:szCs w:val="26"/>
              </w:rPr>
              <w:t>n</w:t>
            </w:r>
            <w:r w:rsidRPr="00233C70">
              <w:rPr>
                <w:rFonts w:eastAsia="Arial"/>
                <w:sz w:val="26"/>
                <w:szCs w:val="26"/>
              </w:rPr>
              <w:t xml:space="preserve"> hóa các tài liệu khi xuất trình cho cán bộ tiếp nhận hồ sơ</w:t>
            </w:r>
            <w:r w:rsidRPr="00233C70">
              <w:rPr>
                <w:rFonts w:eastAsia="Arial"/>
                <w:sz w:val="26"/>
                <w:szCs w:val="26"/>
                <w:vertAlign w:val="superscript"/>
              </w:rPr>
              <w:t xml:space="preserve"> 1</w:t>
            </w:r>
          </w:p>
        </w:tc>
        <w:tc>
          <w:tcPr>
            <w:tcW w:w="992" w:type="dxa"/>
          </w:tcPr>
          <w:p w:rsidR="00F915E5" w:rsidRPr="00233C70" w:rsidRDefault="00F915E5" w:rsidP="00A64293">
            <w:pPr>
              <w:spacing w:before="20" w:after="20"/>
              <w:jc w:val="both"/>
              <w:rPr>
                <w:rFonts w:eastAsia="Arial"/>
                <w:sz w:val="26"/>
                <w:szCs w:val="26"/>
              </w:rPr>
            </w:pPr>
            <w:r w:rsidRPr="00233C70">
              <w:rPr>
                <w:rFonts w:eastAsia="Arial"/>
                <w:sz w:val="26"/>
                <w:szCs w:val="26"/>
              </w:rPr>
              <w:t>Không</w:t>
            </w:r>
          </w:p>
        </w:tc>
        <w:tc>
          <w:tcPr>
            <w:tcW w:w="862" w:type="dxa"/>
            <w:vAlign w:val="center"/>
          </w:tcPr>
          <w:p w:rsidR="00F915E5" w:rsidRPr="00233C70" w:rsidRDefault="00F915E5" w:rsidP="004162F3">
            <w:pPr>
              <w:spacing w:before="20" w:after="20"/>
              <w:jc w:val="center"/>
              <w:rPr>
                <w:rFonts w:eastAsia="Arial"/>
                <w:sz w:val="26"/>
                <w:szCs w:val="26"/>
              </w:rPr>
            </w:pPr>
          </w:p>
        </w:tc>
        <w:tc>
          <w:tcPr>
            <w:tcW w:w="839" w:type="dxa"/>
            <w:vAlign w:val="center"/>
          </w:tcPr>
          <w:p w:rsidR="00F915E5" w:rsidRPr="00233C70" w:rsidRDefault="00F915E5" w:rsidP="004162F3">
            <w:pPr>
              <w:spacing w:before="20" w:after="20"/>
              <w:jc w:val="center"/>
              <w:rPr>
                <w:rFonts w:eastAsia="Arial"/>
                <w:sz w:val="26"/>
                <w:szCs w:val="26"/>
              </w:rPr>
            </w:pPr>
            <w:r w:rsidRPr="00233C70">
              <w:rPr>
                <w:rFonts w:eastAsia="Arial"/>
                <w:sz w:val="26"/>
                <w:szCs w:val="26"/>
              </w:rPr>
              <w:t>x</w:t>
            </w:r>
          </w:p>
        </w:tc>
        <w:tc>
          <w:tcPr>
            <w:tcW w:w="2977" w:type="dxa"/>
            <w:vAlign w:val="center"/>
          </w:tcPr>
          <w:p w:rsidR="00F915E5" w:rsidRPr="00233C70" w:rsidRDefault="00F915E5" w:rsidP="004162F3">
            <w:pPr>
              <w:spacing w:before="20" w:after="20"/>
              <w:jc w:val="both"/>
              <w:rPr>
                <w:spacing w:val="-4"/>
                <w:sz w:val="26"/>
                <w:szCs w:val="26"/>
              </w:rPr>
            </w:pPr>
            <w:r w:rsidRPr="00233C70">
              <w:rPr>
                <w:rFonts w:eastAsia="Arial"/>
                <w:bCs/>
                <w:iCs/>
                <w:spacing w:val="-6"/>
                <w:sz w:val="26"/>
                <w:szCs w:val="26"/>
                <w:lang w:val="vi-VN"/>
              </w:rPr>
              <w:t>- Số hồ sơ TTHC:</w:t>
            </w:r>
          </w:p>
          <w:p w:rsidR="00F915E5" w:rsidRPr="00233C70" w:rsidRDefault="00F915E5" w:rsidP="004162F3">
            <w:pPr>
              <w:spacing w:before="20" w:after="20"/>
              <w:jc w:val="both"/>
              <w:rPr>
                <w:sz w:val="26"/>
                <w:szCs w:val="26"/>
              </w:rPr>
            </w:pPr>
            <w:r>
              <w:rPr>
                <w:sz w:val="26"/>
                <w:szCs w:val="26"/>
              </w:rPr>
              <w:t>1.001776</w:t>
            </w:r>
          </w:p>
          <w:p w:rsidR="00F915E5" w:rsidRPr="00233C70" w:rsidRDefault="00F915E5" w:rsidP="004162F3">
            <w:pPr>
              <w:spacing w:before="20" w:after="20"/>
              <w:jc w:val="both"/>
              <w:rPr>
                <w:rFonts w:eastAsia="Arial"/>
                <w:sz w:val="26"/>
                <w:szCs w:val="26"/>
              </w:rPr>
            </w:pPr>
            <w:r w:rsidRPr="00233C70">
              <w:rPr>
                <w:rFonts w:eastAsia="Arial"/>
                <w:bCs/>
                <w:iCs/>
                <w:spacing w:val="-4"/>
                <w:sz w:val="26"/>
                <w:szCs w:val="26"/>
                <w:lang w:val="vi-VN"/>
              </w:rPr>
              <w:t xml:space="preserve">- TTHC được sửa đổi có số thứ tự </w:t>
            </w:r>
            <w:r w:rsidRPr="00233C70">
              <w:rPr>
                <w:rFonts w:eastAsia="Arial"/>
                <w:bCs/>
                <w:iCs/>
                <w:spacing w:val="-4"/>
                <w:sz w:val="26"/>
                <w:szCs w:val="26"/>
              </w:rPr>
              <w:t xml:space="preserve">4, mục I, </w:t>
            </w:r>
            <w:r w:rsidRPr="00233C70">
              <w:rPr>
                <w:rFonts w:eastAsia="Arial"/>
                <w:bCs/>
                <w:iCs/>
                <w:spacing w:val="-4"/>
                <w:sz w:val="26"/>
                <w:szCs w:val="26"/>
                <w:lang w:val="vi-VN"/>
              </w:rPr>
              <w:t>Phần</w:t>
            </w:r>
            <w:r w:rsidRPr="00233C70">
              <w:rPr>
                <w:rFonts w:eastAsia="Arial"/>
                <w:bCs/>
                <w:iCs/>
                <w:spacing w:val="-4"/>
                <w:sz w:val="26"/>
                <w:szCs w:val="26"/>
              </w:rPr>
              <w:t xml:space="preserve"> B </w:t>
            </w:r>
            <w:r w:rsidRPr="00233C70">
              <w:rPr>
                <w:rFonts w:eastAsia="Arial"/>
                <w:bCs/>
                <w:iCs/>
                <w:spacing w:val="-4"/>
                <w:sz w:val="26"/>
                <w:szCs w:val="26"/>
                <w:lang w:val="vi-VN"/>
              </w:rPr>
              <w:t xml:space="preserve">tại  Danh mục TTHC ban hành kèm theo Quyết định số </w:t>
            </w:r>
            <w:r w:rsidRPr="00233C70">
              <w:rPr>
                <w:rFonts w:eastAsia="Arial"/>
                <w:bCs/>
                <w:iCs/>
                <w:spacing w:val="-4"/>
                <w:sz w:val="26"/>
                <w:szCs w:val="26"/>
              </w:rPr>
              <w:t>2150</w:t>
            </w:r>
            <w:r w:rsidRPr="00233C70">
              <w:rPr>
                <w:rFonts w:eastAsia="Arial"/>
                <w:bCs/>
                <w:iCs/>
                <w:spacing w:val="-4"/>
                <w:sz w:val="26"/>
                <w:szCs w:val="26"/>
                <w:lang w:val="vi-VN"/>
              </w:rPr>
              <w:t xml:space="preserve">/QĐ-UBND ngày </w:t>
            </w:r>
            <w:r w:rsidRPr="00233C70">
              <w:rPr>
                <w:rFonts w:eastAsia="Arial"/>
                <w:bCs/>
                <w:iCs/>
                <w:spacing w:val="-4"/>
                <w:sz w:val="26"/>
                <w:szCs w:val="26"/>
              </w:rPr>
              <w:t>09/9</w:t>
            </w:r>
            <w:r w:rsidRPr="00233C70">
              <w:rPr>
                <w:rFonts w:eastAsia="Arial"/>
                <w:bCs/>
                <w:iCs/>
                <w:spacing w:val="-4"/>
                <w:sz w:val="26"/>
                <w:szCs w:val="26"/>
                <w:lang w:val="vi-VN"/>
              </w:rPr>
              <w:t>/202</w:t>
            </w:r>
            <w:r w:rsidRPr="00233C70">
              <w:rPr>
                <w:rFonts w:eastAsia="Arial"/>
                <w:bCs/>
                <w:iCs/>
                <w:spacing w:val="-4"/>
                <w:sz w:val="26"/>
                <w:szCs w:val="26"/>
              </w:rPr>
              <w:t>1</w:t>
            </w:r>
            <w:r w:rsidRPr="00233C70">
              <w:rPr>
                <w:rFonts w:eastAsia="Arial"/>
                <w:bCs/>
                <w:iCs/>
                <w:spacing w:val="-4"/>
                <w:sz w:val="26"/>
                <w:szCs w:val="26"/>
                <w:lang w:val="vi-VN"/>
              </w:rPr>
              <w:t xml:space="preserve"> của Chủ tịch UBND tỉnh Hưng Yên.</w:t>
            </w:r>
          </w:p>
        </w:tc>
      </w:tr>
    </w:tbl>
    <w:p w:rsidR="00F915E5" w:rsidRPr="009D6850" w:rsidRDefault="00F915E5" w:rsidP="00F915E5">
      <w:pPr>
        <w:pStyle w:val="NormalWeb"/>
        <w:snapToGrid w:val="0"/>
        <w:spacing w:before="120" w:beforeAutospacing="0" w:after="0" w:afterAutospacing="0" w:line="264" w:lineRule="auto"/>
        <w:ind w:firstLine="567"/>
        <w:jc w:val="both"/>
        <w:rPr>
          <w:sz w:val="2"/>
          <w:szCs w:val="28"/>
          <w:vertAlign w:val="superscript"/>
        </w:rPr>
      </w:pPr>
    </w:p>
    <w:p w:rsidR="00F915E5" w:rsidRPr="009D6850" w:rsidRDefault="00F915E5" w:rsidP="00F915E5">
      <w:pPr>
        <w:pStyle w:val="NormalWeb"/>
        <w:snapToGrid w:val="0"/>
        <w:spacing w:before="120" w:beforeAutospacing="0" w:after="0" w:afterAutospacing="0" w:line="264" w:lineRule="auto"/>
        <w:ind w:firstLine="567"/>
        <w:jc w:val="both"/>
        <w:rPr>
          <w:sz w:val="26"/>
          <w:szCs w:val="28"/>
          <w:lang w:val="vi-VN"/>
        </w:rPr>
      </w:pPr>
      <w:r w:rsidRPr="009D6850">
        <w:rPr>
          <w:sz w:val="26"/>
          <w:szCs w:val="28"/>
          <w:vertAlign w:val="superscript"/>
        </w:rPr>
        <w:t>(1)</w:t>
      </w:r>
      <w:r w:rsidRPr="009D6850">
        <w:rPr>
          <w:sz w:val="26"/>
          <w:szCs w:val="28"/>
        </w:rPr>
        <w:t xml:space="preserve"> </w:t>
      </w:r>
      <w:r w:rsidRPr="009D6850">
        <w:rPr>
          <w:sz w:val="26"/>
          <w:szCs w:val="28"/>
          <w:lang w:val="vi-VN"/>
        </w:rPr>
        <w:t>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w:t>
      </w:r>
      <w:r w:rsidRPr="009D6850">
        <w:rPr>
          <w:color w:val="800000"/>
          <w:sz w:val="26"/>
          <w:szCs w:val="28"/>
          <w:lang w:val="vi-VN"/>
        </w:rPr>
        <w:t xml:space="preserve"> </w:t>
      </w:r>
      <w:r w:rsidRPr="009D6850">
        <w:rPr>
          <w:sz w:val="26"/>
          <w:szCs w:val="28"/>
          <w:lang w:val="vi-VN"/>
        </w:rPr>
        <w:t>để cán bộ tiếp nhận hồ sơ đối chiếu các thông tin kê khai trong tờ khai:</w:t>
      </w:r>
    </w:p>
    <w:p w:rsidR="00F915E5" w:rsidRPr="009D6850" w:rsidRDefault="00F915E5" w:rsidP="00F915E5">
      <w:pPr>
        <w:pStyle w:val="NormalWeb"/>
        <w:shd w:val="clear" w:color="auto" w:fill="FFFFFF"/>
        <w:spacing w:before="120" w:beforeAutospacing="0" w:after="120" w:afterAutospacing="0" w:line="234" w:lineRule="atLeast"/>
        <w:jc w:val="both"/>
        <w:rPr>
          <w:rFonts w:eastAsia="Times New Roman"/>
          <w:color w:val="000000"/>
          <w:sz w:val="26"/>
          <w:szCs w:val="28"/>
          <w:lang w:eastAsia="en-US"/>
        </w:rPr>
      </w:pPr>
      <w:r w:rsidRPr="009D6850">
        <w:rPr>
          <w:sz w:val="26"/>
          <w:szCs w:val="28"/>
        </w:rPr>
        <w:t xml:space="preserve">        + Giấy xác nhận thông tin về cư trú hoặc Giấy thông báo số định danh cá nhân và thông tin công dân trong Cơ sở dữ liệu quốc gia về dân cư; chứng minh thư nhân dân hoặc thẻ căn cước công dân; </w:t>
      </w:r>
      <w:r w:rsidRPr="009D6850">
        <w:rPr>
          <w:i/>
          <w:sz w:val="26"/>
          <w:szCs w:val="28"/>
        </w:rPr>
        <w:t>(</w:t>
      </w:r>
      <w:r w:rsidRPr="009D6850">
        <w:rPr>
          <w:rFonts w:eastAsia="Times New Roman"/>
          <w:i/>
          <w:color w:val="000000"/>
          <w:sz w:val="26"/>
          <w:szCs w:val="28"/>
          <w:shd w:val="clear" w:color="auto" w:fill="FFFFFF"/>
          <w:lang w:val="vi-VN" w:eastAsia="en-US"/>
        </w:rPr>
        <w:t>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r w:rsidRPr="009D6850">
        <w:rPr>
          <w:rFonts w:eastAsia="Times New Roman"/>
          <w:i/>
          <w:color w:val="000000"/>
          <w:sz w:val="26"/>
          <w:szCs w:val="28"/>
          <w:shd w:val="clear" w:color="auto" w:fill="FFFFFF"/>
          <w:lang w:eastAsia="en-US"/>
        </w:rPr>
        <w:t>;</w:t>
      </w:r>
      <w:r w:rsidRPr="009D6850">
        <w:rPr>
          <w:rFonts w:eastAsia="Times New Roman"/>
          <w:i/>
          <w:color w:val="000000"/>
          <w:sz w:val="26"/>
          <w:szCs w:val="28"/>
          <w:shd w:val="clear" w:color="auto" w:fill="FFFFFF"/>
        </w:rPr>
        <w:t>t</w:t>
      </w:r>
      <w:r w:rsidRPr="009D6850">
        <w:rPr>
          <w:rFonts w:eastAsia="Times New Roman"/>
          <w:i/>
          <w:color w:val="000000"/>
          <w:sz w:val="26"/>
          <w:szCs w:val="28"/>
          <w:shd w:val="clear" w:color="auto" w:fill="FFFFFF"/>
          <w:lang w:val="vi-VN"/>
        </w:rPr>
        <w:t>rường hợp không thể khai thác được thông tin cư trú của công dân t</w:t>
      </w:r>
      <w:r w:rsidRPr="009D6850">
        <w:rPr>
          <w:rFonts w:eastAsia="Times New Roman"/>
          <w:i/>
          <w:color w:val="000000"/>
          <w:sz w:val="26"/>
          <w:szCs w:val="28"/>
          <w:shd w:val="clear" w:color="auto" w:fill="FFFFFF"/>
        </w:rPr>
        <w:t>hì</w:t>
      </w:r>
      <w:r w:rsidRPr="009D6850">
        <w:rPr>
          <w:rFonts w:eastAsia="Times New Roman"/>
          <w:i/>
          <w:color w:val="000000"/>
          <w:sz w:val="26"/>
          <w:szCs w:val="28"/>
          <w:shd w:val="clear" w:color="auto" w:fill="FFFFFF"/>
          <w:lang w:val="vi-VN"/>
        </w:rPr>
        <w:t xml:space="preserve">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w:t>
      </w:r>
      <w:r w:rsidRPr="009D6850">
        <w:rPr>
          <w:i/>
          <w:sz w:val="26"/>
          <w:szCs w:val="28"/>
        </w:rPr>
        <w:t>)</w:t>
      </w:r>
      <w:r>
        <w:rPr>
          <w:i/>
          <w:sz w:val="26"/>
          <w:szCs w:val="28"/>
        </w:rPr>
        <w:t>.</w:t>
      </w:r>
    </w:p>
    <w:p w:rsidR="005E0882" w:rsidRDefault="005E0882"/>
    <w:sectPr w:rsidR="005E0882" w:rsidSect="00291338">
      <w:pgSz w:w="16834" w:h="11909" w:orient="landscape" w:code="9"/>
      <w:pgMar w:top="851" w:right="1134" w:bottom="851" w:left="1134" w:header="397"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E5"/>
    <w:rsid w:val="000F200E"/>
    <w:rsid w:val="001845A2"/>
    <w:rsid w:val="005861E6"/>
    <w:rsid w:val="005E0882"/>
    <w:rsid w:val="006574D9"/>
    <w:rsid w:val="00A64293"/>
    <w:rsid w:val="00CB3F37"/>
    <w:rsid w:val="00DE26DA"/>
    <w:rsid w:val="00F9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rsid w:val="00F915E5"/>
    <w:rPr>
      <w:sz w:val="26"/>
      <w:szCs w:val="26"/>
    </w:rPr>
  </w:style>
  <w:style w:type="paragraph" w:customStyle="1" w:styleId="Khc0">
    <w:name w:val="Khác"/>
    <w:basedOn w:val="Normal"/>
    <w:link w:val="Khc"/>
    <w:uiPriority w:val="99"/>
    <w:rsid w:val="00F915E5"/>
    <w:pPr>
      <w:widowControl w:val="0"/>
      <w:spacing w:after="80" w:line="276" w:lineRule="auto"/>
      <w:ind w:firstLine="320"/>
    </w:pPr>
    <w:rPr>
      <w:rFonts w:asciiTheme="minorHAnsi" w:eastAsiaTheme="minorHAnsi" w:hAnsiTheme="minorHAnsi" w:cstheme="minorBidi"/>
      <w:sz w:val="26"/>
      <w:szCs w:val="26"/>
    </w:rPr>
  </w:style>
  <w:style w:type="paragraph" w:styleId="NormalWeb">
    <w:name w:val="Normal (Web)"/>
    <w:basedOn w:val="Normal"/>
    <w:uiPriority w:val="99"/>
    <w:rsid w:val="00F915E5"/>
    <w:pPr>
      <w:spacing w:before="100" w:beforeAutospacing="1" w:after="100" w:afterAutospacing="1"/>
    </w:pPr>
    <w:rPr>
      <w:rFonts w:eastAsia="Batang"/>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link w:val="Khc0"/>
    <w:uiPriority w:val="99"/>
    <w:rsid w:val="00F915E5"/>
    <w:rPr>
      <w:sz w:val="26"/>
      <w:szCs w:val="26"/>
    </w:rPr>
  </w:style>
  <w:style w:type="paragraph" w:customStyle="1" w:styleId="Khc0">
    <w:name w:val="Khác"/>
    <w:basedOn w:val="Normal"/>
    <w:link w:val="Khc"/>
    <w:uiPriority w:val="99"/>
    <w:rsid w:val="00F915E5"/>
    <w:pPr>
      <w:widowControl w:val="0"/>
      <w:spacing w:after="80" w:line="276" w:lineRule="auto"/>
      <w:ind w:firstLine="320"/>
    </w:pPr>
    <w:rPr>
      <w:rFonts w:asciiTheme="minorHAnsi" w:eastAsiaTheme="minorHAnsi" w:hAnsiTheme="minorHAnsi" w:cstheme="minorBidi"/>
      <w:sz w:val="26"/>
      <w:szCs w:val="26"/>
    </w:rPr>
  </w:style>
  <w:style w:type="paragraph" w:styleId="NormalWeb">
    <w:name w:val="Normal (Web)"/>
    <w:basedOn w:val="Normal"/>
    <w:uiPriority w:val="99"/>
    <w:rsid w:val="00F915E5"/>
    <w:pPr>
      <w:spacing w:before="100" w:beforeAutospacing="1" w:after="100" w:afterAutospacing="1"/>
    </w:pPr>
    <w:rPr>
      <w:rFonts w:eastAsia="Batang"/>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9</cp:revision>
  <dcterms:created xsi:type="dcterms:W3CDTF">2023-04-10T07:27:00Z</dcterms:created>
  <dcterms:modified xsi:type="dcterms:W3CDTF">2023-04-25T08:17:00Z</dcterms:modified>
</cp:coreProperties>
</file>